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808B5" w:rsidR="006E14CA" w:rsidP="0081707F" w:rsidRDefault="00DB3B60" w14:paraId="453175D0" w14:textId="3072475C">
      <w:pPr>
        <w:spacing w:after="0" w:line="360" w:lineRule="auto"/>
        <w:jc w:val="center"/>
        <w:rPr>
          <w:rFonts w:ascii="Arial" w:hAnsi="Arial" w:eastAsia="Deto Grotesk" w:cs="Arial"/>
          <w:b/>
          <w:bCs/>
          <w:sz w:val="24"/>
          <w:szCs w:val="24"/>
        </w:rPr>
      </w:pPr>
      <w:r w:rsidRPr="009808B5">
        <w:rPr>
          <w:rFonts w:ascii="Arial" w:hAnsi="Arial" w:eastAsia="Deto Grotesk" w:cs="Arial"/>
          <w:b/>
          <w:bCs/>
          <w:sz w:val="24"/>
          <w:szCs w:val="24"/>
        </w:rPr>
        <w:t>Študijné materiály</w:t>
      </w:r>
      <w:r w:rsidRPr="009808B5" w:rsidR="00C73367">
        <w:rPr>
          <w:rFonts w:ascii="Arial" w:hAnsi="Arial" w:eastAsia="Deto Grotesk" w:cs="Arial"/>
          <w:b/>
          <w:bCs/>
          <w:sz w:val="24"/>
          <w:szCs w:val="24"/>
        </w:rPr>
        <w:t xml:space="preserve"> – Nemlčať je zlato!</w:t>
      </w:r>
    </w:p>
    <w:p w:rsidR="0081707F" w:rsidP="0081707F" w:rsidRDefault="0081707F" w14:paraId="05439485" w14:textId="77777777">
      <w:pPr>
        <w:spacing w:after="0" w:line="360" w:lineRule="auto"/>
        <w:jc w:val="both"/>
        <w:rPr>
          <w:rFonts w:ascii="Arial" w:hAnsi="Arial" w:eastAsia="Deto Grotesk" w:cs="Arial"/>
        </w:rPr>
      </w:pPr>
    </w:p>
    <w:p w:rsidRPr="0081707F" w:rsidR="00AA54A8" w:rsidP="0081707F" w:rsidRDefault="00E0573A" w14:paraId="47622264" w14:textId="007AE22D">
      <w:pPr>
        <w:spacing w:after="0" w:line="360" w:lineRule="auto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D</w:t>
      </w:r>
      <w:r w:rsidRPr="0081707F" w:rsidR="006E14CA">
        <w:rPr>
          <w:rFonts w:ascii="Arial" w:hAnsi="Arial" w:eastAsia="Deto Grotesk" w:cs="Arial"/>
        </w:rPr>
        <w:t>ržíte v rukách študijné materiály určené pre zamestnancov</w:t>
      </w:r>
      <w:r w:rsidRPr="0081707F" w:rsidR="006807BE">
        <w:rPr>
          <w:rFonts w:ascii="Arial" w:hAnsi="Arial" w:eastAsia="Deto Grotesk" w:cs="Arial"/>
        </w:rPr>
        <w:t xml:space="preserve">, ktoré sú </w:t>
      </w:r>
      <w:r w:rsidRPr="0081707F" w:rsidR="006E14CA">
        <w:rPr>
          <w:rFonts w:ascii="Arial" w:hAnsi="Arial" w:eastAsia="Deto Grotesk" w:cs="Arial"/>
        </w:rPr>
        <w:t xml:space="preserve">zamerané na to, ako a prečo oznamovať </w:t>
      </w:r>
      <w:r w:rsidRPr="0081707F" w:rsidR="1A0C2BF7">
        <w:rPr>
          <w:rFonts w:ascii="Arial" w:hAnsi="Arial" w:eastAsia="Deto Grotesk" w:cs="Arial"/>
        </w:rPr>
        <w:t>protiprávne konanie, ktoré ohrozuje verejný záujem.</w:t>
      </w:r>
      <w:r w:rsidRPr="0081707F" w:rsidR="006E14CA">
        <w:rPr>
          <w:rFonts w:ascii="Arial" w:hAnsi="Arial" w:eastAsia="Deto Grotesk" w:cs="Arial"/>
        </w:rPr>
        <w:t xml:space="preserve"> </w:t>
      </w:r>
      <w:r w:rsidRPr="0081707F" w:rsidR="00A00838">
        <w:rPr>
          <w:rFonts w:ascii="Arial" w:hAnsi="Arial" w:eastAsia="Deto Grotesk" w:cs="Arial"/>
        </w:rPr>
        <w:t>Obsahujú potrebné informácie</w:t>
      </w:r>
      <w:r w:rsidRPr="0081707F" w:rsidR="006E14CA">
        <w:rPr>
          <w:rFonts w:ascii="Arial" w:hAnsi="Arial" w:eastAsia="Deto Grotesk" w:cs="Arial"/>
        </w:rPr>
        <w:t xml:space="preserve"> a</w:t>
      </w:r>
      <w:r w:rsidRPr="0081707F" w:rsidR="00A00838">
        <w:rPr>
          <w:rFonts w:ascii="Arial" w:hAnsi="Arial" w:eastAsia="Deto Grotesk" w:cs="Arial"/>
        </w:rPr>
        <w:t> </w:t>
      </w:r>
      <w:r w:rsidRPr="0081707F" w:rsidR="006E14CA">
        <w:rPr>
          <w:rFonts w:ascii="Arial" w:hAnsi="Arial" w:eastAsia="Deto Grotesk" w:cs="Arial"/>
        </w:rPr>
        <w:t>modelov</w:t>
      </w:r>
      <w:r w:rsidRPr="0081707F" w:rsidR="00A00838">
        <w:rPr>
          <w:rFonts w:ascii="Arial" w:hAnsi="Arial" w:eastAsia="Deto Grotesk" w:cs="Arial"/>
        </w:rPr>
        <w:t>é situácie</w:t>
      </w:r>
      <w:r w:rsidRPr="0081707F" w:rsidR="006E14CA">
        <w:rPr>
          <w:rFonts w:ascii="Arial" w:hAnsi="Arial" w:eastAsia="Deto Grotesk" w:cs="Arial"/>
        </w:rPr>
        <w:t xml:space="preserve">, </w:t>
      </w:r>
      <w:r w:rsidRPr="0081707F" w:rsidR="00F30DFF">
        <w:rPr>
          <w:rFonts w:ascii="Arial" w:hAnsi="Arial" w:eastAsia="Deto Grotesk" w:cs="Arial"/>
        </w:rPr>
        <w:t xml:space="preserve">ktoré vám pomôžu zvoliť správny postup v </w:t>
      </w:r>
      <w:r w:rsidRPr="0081707F" w:rsidR="00CA6A78">
        <w:rPr>
          <w:rFonts w:ascii="Arial" w:hAnsi="Arial" w:eastAsia="Deto Grotesk" w:cs="Arial"/>
        </w:rPr>
        <w:t>prípade, že sa stretnete na pracovisku s niečím nezákonný</w:t>
      </w:r>
      <w:r w:rsidRPr="0081707F" w:rsidR="00F30DFF">
        <w:rPr>
          <w:rFonts w:ascii="Arial" w:hAnsi="Arial" w:eastAsia="Deto Grotesk" w:cs="Arial"/>
        </w:rPr>
        <w:t>m</w:t>
      </w:r>
      <w:r w:rsidRPr="0081707F" w:rsidR="006E14CA">
        <w:rPr>
          <w:rFonts w:ascii="Arial" w:hAnsi="Arial" w:eastAsia="Deto Grotesk" w:cs="Arial"/>
        </w:rPr>
        <w:t xml:space="preserve">. </w:t>
      </w:r>
    </w:p>
    <w:p w:rsidR="001E0959" w:rsidP="0081707F" w:rsidRDefault="001E0959" w14:paraId="45F8D618" w14:textId="0EB3AA81">
      <w:pPr>
        <w:spacing w:after="0" w:line="360" w:lineRule="auto"/>
        <w:jc w:val="both"/>
        <w:rPr>
          <w:rFonts w:ascii="Arial" w:hAnsi="Arial" w:eastAsia="Deto Grotesk" w:cs="Arial"/>
          <w:b/>
          <w:bCs/>
        </w:rPr>
      </w:pPr>
    </w:p>
    <w:p w:rsidRPr="0081707F" w:rsidR="0081707F" w:rsidP="0081707F" w:rsidRDefault="0081707F" w14:paraId="1DA0D6DB" w14:textId="77777777">
      <w:pPr>
        <w:spacing w:after="0" w:line="360" w:lineRule="auto"/>
        <w:jc w:val="both"/>
        <w:rPr>
          <w:rFonts w:ascii="Arial" w:hAnsi="Arial" w:eastAsia="Deto Grotesk" w:cs="Arial"/>
          <w:b/>
          <w:bCs/>
        </w:rPr>
      </w:pPr>
    </w:p>
    <w:p w:rsidRPr="009808B5" w:rsidR="0081707F" w:rsidP="0081707F" w:rsidRDefault="00DB3B60" w14:paraId="131D090F" w14:textId="49885863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Arial" w:hAnsi="Arial" w:eastAsia="Deto Grotesk" w:cs="Arial"/>
          <w:b/>
          <w:bCs/>
          <w:sz w:val="24"/>
          <w:szCs w:val="24"/>
        </w:rPr>
      </w:pPr>
      <w:r w:rsidRPr="009808B5">
        <w:rPr>
          <w:rFonts w:ascii="Arial" w:hAnsi="Arial" w:eastAsia="Deto Grotesk" w:cs="Arial"/>
          <w:b/>
          <w:bCs/>
          <w:sz w:val="24"/>
          <w:szCs w:val="24"/>
        </w:rPr>
        <w:t xml:space="preserve">Oznamovanie má zmysel </w:t>
      </w:r>
    </w:p>
    <w:p w:rsidR="009808B5" w:rsidP="0081707F" w:rsidRDefault="009808B5" w14:paraId="2DBD3CE3" w14:textId="77777777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</w:p>
    <w:p w:rsidRPr="0081707F" w:rsidR="00DB3B60" w:rsidP="0081707F" w:rsidRDefault="00AA54A8" w14:paraId="446803E2" w14:textId="37B17409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P</w:t>
      </w:r>
      <w:r w:rsidRPr="0081707F" w:rsidR="00DB3B60">
        <w:rPr>
          <w:rFonts w:ascii="Arial" w:hAnsi="Arial" w:eastAsia="Deto Grotesk" w:cs="Arial"/>
        </w:rPr>
        <w:t>rotispoločenské správanie</w:t>
      </w:r>
      <w:r w:rsidRPr="0081707F">
        <w:rPr>
          <w:rFonts w:ascii="Arial" w:hAnsi="Arial" w:eastAsia="Deto Grotesk" w:cs="Arial"/>
        </w:rPr>
        <w:t xml:space="preserve"> </w:t>
      </w:r>
      <w:r w:rsidRPr="0081707F" w:rsidR="00DB3B60">
        <w:rPr>
          <w:rFonts w:ascii="Arial" w:hAnsi="Arial" w:eastAsia="Deto Grotesk" w:cs="Arial"/>
        </w:rPr>
        <w:t xml:space="preserve">nás pripravuje o príležitosť rozvíjať </w:t>
      </w:r>
      <w:r w:rsidRPr="0081707F">
        <w:rPr>
          <w:rFonts w:ascii="Arial" w:hAnsi="Arial" w:eastAsia="Deto Grotesk" w:cs="Arial"/>
        </w:rPr>
        <w:t>našu</w:t>
      </w:r>
      <w:r w:rsidRPr="0081707F" w:rsidR="00DB3B60">
        <w:rPr>
          <w:rFonts w:ascii="Arial" w:hAnsi="Arial" w:eastAsia="Deto Grotesk" w:cs="Arial"/>
        </w:rPr>
        <w:t xml:space="preserve"> krajinu, skvalitňovať služby (mať napríklad kvalitnejšie školstvo či zdravotníctvo, rýchlejšie konania / rozhodnutia štátnych orgánov), ale </w:t>
      </w:r>
      <w:r w:rsidRPr="0081707F" w:rsidR="002158CD">
        <w:rPr>
          <w:rFonts w:ascii="Arial" w:hAnsi="Arial" w:eastAsia="Deto Grotesk" w:cs="Arial"/>
        </w:rPr>
        <w:t xml:space="preserve">tiež </w:t>
      </w:r>
      <w:r w:rsidRPr="0081707F" w:rsidR="00DB3B60">
        <w:rPr>
          <w:rFonts w:ascii="Arial" w:hAnsi="Arial" w:eastAsia="Deto Grotesk" w:cs="Arial"/>
        </w:rPr>
        <w:t>mať k n</w:t>
      </w:r>
      <w:r w:rsidRPr="0081707F" w:rsidR="7231B7B4">
        <w:rPr>
          <w:rFonts w:ascii="Arial" w:hAnsi="Arial" w:eastAsia="Deto Grotesk" w:cs="Arial"/>
        </w:rPr>
        <w:t>i</w:t>
      </w:r>
      <w:r w:rsidRPr="0081707F" w:rsidR="00DB3B60">
        <w:rPr>
          <w:rFonts w:ascii="Arial" w:hAnsi="Arial" w:eastAsia="Deto Grotesk" w:cs="Arial"/>
        </w:rPr>
        <w:t>m rovnaký prístup, na čo máme všetci bezpochyby právo.</w:t>
      </w:r>
    </w:p>
    <w:p w:rsidRPr="0081707F" w:rsidR="00DB3B60" w:rsidP="0081707F" w:rsidRDefault="00DB3B60" w14:paraId="6569DAB4" w14:textId="033181F1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Našťastie, na Slovensku dochádza k zlepšovaniu vnímania oznamovania </w:t>
      </w:r>
      <w:r w:rsidRPr="0081707F" w:rsidR="00A7182A">
        <w:rPr>
          <w:rFonts w:ascii="Arial" w:hAnsi="Arial" w:eastAsia="Deto Grotesk" w:cs="Arial"/>
        </w:rPr>
        <w:t>porušovania zákonov</w:t>
      </w:r>
      <w:r w:rsidRPr="0081707F">
        <w:rPr>
          <w:rFonts w:ascii="Arial" w:hAnsi="Arial" w:eastAsia="Deto Grotesk" w:cs="Arial"/>
        </w:rPr>
        <w:t xml:space="preserve">. Na základe prieskumu, ktorý urobila agentúra </w:t>
      </w:r>
      <w:proofErr w:type="spellStart"/>
      <w:r w:rsidRPr="0081707F">
        <w:rPr>
          <w:rFonts w:ascii="Arial" w:hAnsi="Arial" w:eastAsia="Deto Grotesk" w:cs="Arial"/>
        </w:rPr>
        <w:t>Focus</w:t>
      </w:r>
      <w:proofErr w:type="spellEnd"/>
      <w:r w:rsidRPr="0081707F">
        <w:rPr>
          <w:rFonts w:ascii="Arial" w:hAnsi="Arial" w:eastAsia="Deto Grotesk" w:cs="Arial"/>
        </w:rPr>
        <w:t xml:space="preserve"> pre Úrad na ochranu oznamovateľov, až 58 % Slovákov a Sloveniek by malo pozitívny názor na svojho kolegu, ktorý by sa rozhodol oznámiť nezákonnú činnosť, </w:t>
      </w:r>
      <w:r w:rsidRPr="0081707F" w:rsidR="00A7182A">
        <w:rPr>
          <w:rFonts w:ascii="Arial" w:hAnsi="Arial" w:eastAsia="Deto Grotesk" w:cs="Arial"/>
        </w:rPr>
        <w:t>s ktorou sa stretol na pracovisku</w:t>
      </w:r>
      <w:r w:rsidRPr="0081707F">
        <w:rPr>
          <w:rFonts w:ascii="Arial" w:hAnsi="Arial" w:eastAsia="Deto Grotesk" w:cs="Arial"/>
        </w:rPr>
        <w:t>.</w:t>
      </w:r>
      <w:r w:rsidRPr="0081707F">
        <w:rPr>
          <w:rStyle w:val="Odkaznapoznmkupodiarou"/>
          <w:rFonts w:ascii="Arial" w:hAnsi="Arial" w:eastAsia="Deto Grotesk" w:cs="Arial"/>
        </w:rPr>
        <w:footnoteReference w:id="2"/>
      </w:r>
      <w:r w:rsidRPr="0081707F">
        <w:rPr>
          <w:rFonts w:ascii="Arial" w:hAnsi="Arial" w:eastAsia="Deto Grotesk" w:cs="Arial"/>
        </w:rPr>
        <w:t xml:space="preserve"> </w:t>
      </w:r>
    </w:p>
    <w:p w:rsidRPr="0081707F" w:rsidR="00DB3B60" w:rsidP="0081707F" w:rsidRDefault="00DB3B60" w14:paraId="4FADE5EE" w14:textId="3F4BC951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Povzbudivé sú aj ďalšie dáta z prieskumu, ktoré hovoria o tom, že 61 % obyvateľov Slovenska by bolo potencionálne ochotných oznámiť </w:t>
      </w:r>
      <w:r w:rsidRPr="0081707F" w:rsidR="00071F03">
        <w:rPr>
          <w:rFonts w:ascii="Arial" w:hAnsi="Arial" w:eastAsia="Deto Grotesk" w:cs="Arial"/>
        </w:rPr>
        <w:t>nekalé praktiky, na ktoré narazil</w:t>
      </w:r>
      <w:r w:rsidRPr="0081707F" w:rsidR="7EE97B04">
        <w:rPr>
          <w:rFonts w:ascii="Arial" w:hAnsi="Arial" w:eastAsia="Deto Grotesk" w:cs="Arial"/>
        </w:rPr>
        <w:t>i</w:t>
      </w:r>
      <w:r w:rsidRPr="0081707F" w:rsidR="00071F03">
        <w:rPr>
          <w:rFonts w:ascii="Arial" w:hAnsi="Arial" w:eastAsia="Deto Grotesk" w:cs="Arial"/>
        </w:rPr>
        <w:t xml:space="preserve"> pri práci</w:t>
      </w:r>
      <w:r w:rsidRPr="0081707F">
        <w:rPr>
          <w:rFonts w:ascii="Arial" w:hAnsi="Arial" w:eastAsia="Deto Grotesk" w:cs="Arial"/>
        </w:rPr>
        <w:t>.</w:t>
      </w:r>
      <w:r w:rsidRPr="0081707F" w:rsidR="00B6291C">
        <w:rPr>
          <w:rFonts w:ascii="Arial" w:hAnsi="Arial" w:eastAsia="Deto Grotesk" w:cs="Arial"/>
        </w:rPr>
        <w:t xml:space="preserve"> </w:t>
      </w:r>
      <w:r w:rsidRPr="0081707F">
        <w:rPr>
          <w:rFonts w:ascii="Arial" w:hAnsi="Arial" w:eastAsia="Deto Grotesk" w:cs="Arial"/>
        </w:rPr>
        <w:t xml:space="preserve">Pozitívne možno vnímať aj výsledky </w:t>
      </w:r>
      <w:r w:rsidRPr="0081707F">
        <w:rPr>
          <w:rFonts w:ascii="Arial" w:hAnsi="Arial" w:eastAsia="Deto Grotesk" w:cs="Arial"/>
          <w:shd w:val="clear" w:color="auto" w:fill="FFFFFF"/>
        </w:rPr>
        <w:t>Globálneho barometra korupcie z roku 2021, podľa ktorého si väčšina Slovákov (77 %) myslí, že aj jednotlivec môže zamedziť korupcii.</w:t>
      </w:r>
      <w:r w:rsidRPr="0081707F">
        <w:rPr>
          <w:rStyle w:val="Odkaznapoznmkupodiarou"/>
          <w:rFonts w:ascii="Arial" w:hAnsi="Arial" w:eastAsia="Deto Grotesk" w:cs="Arial"/>
          <w:shd w:val="clear" w:color="auto" w:fill="FFFFFF"/>
        </w:rPr>
        <w:footnoteReference w:id="3"/>
      </w:r>
    </w:p>
    <w:p w:rsidRPr="009808B5" w:rsidR="00DB3B60" w:rsidP="0081707F" w:rsidRDefault="00B6291C" w14:paraId="33CE8E6E" w14:textId="607C6D70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  <w:shd w:val="clear" w:color="auto" w:fill="FFFFFF"/>
        </w:rPr>
      </w:pPr>
      <w:r w:rsidRPr="0081707F">
        <w:rPr>
          <w:rFonts w:ascii="Arial" w:hAnsi="Arial" w:eastAsia="Deto Grotesk" w:cs="Arial"/>
        </w:rPr>
        <w:t>O</w:t>
      </w:r>
      <w:r w:rsidRPr="0081707F" w:rsidR="00DB3B60">
        <w:rPr>
          <w:rFonts w:ascii="Arial" w:hAnsi="Arial" w:eastAsia="Deto Grotesk" w:cs="Arial"/>
        </w:rPr>
        <w:t>znamovanie protispoločenského správania by mala byť samozrejmosť a nie je</w:t>
      </w:r>
      <w:r w:rsidRPr="0081707F">
        <w:rPr>
          <w:rFonts w:ascii="Arial" w:hAnsi="Arial" w:eastAsia="Deto Grotesk" w:cs="Arial"/>
        </w:rPr>
        <w:t xml:space="preserve"> to</w:t>
      </w:r>
      <w:r w:rsidRPr="0081707F" w:rsidR="00DB3B60">
        <w:rPr>
          <w:rFonts w:ascii="Arial" w:hAnsi="Arial" w:eastAsia="Deto Grotesk" w:cs="Arial"/>
        </w:rPr>
        <w:t xml:space="preserve"> „udávanie“ ako to často niektorí ľudia (možno účelovo) interpretujú. </w:t>
      </w:r>
      <w:r w:rsidRPr="0081707F" w:rsidR="00DB3B60">
        <w:rPr>
          <w:rFonts w:ascii="Arial" w:hAnsi="Arial" w:eastAsia="Deto Grotesk" w:cs="Arial"/>
          <w:shd w:val="clear" w:color="auto" w:fill="FFFFFF"/>
        </w:rPr>
        <w:t>Upozorniť na porušovanie zákonov nie je "</w:t>
      </w:r>
      <w:proofErr w:type="spellStart"/>
      <w:r w:rsidRPr="0081707F" w:rsidR="00DB3B60">
        <w:rPr>
          <w:rFonts w:ascii="Arial" w:hAnsi="Arial" w:eastAsia="Deto Grotesk" w:cs="Arial"/>
          <w:shd w:val="clear" w:color="auto" w:fill="FFFFFF"/>
        </w:rPr>
        <w:t>bonzáctvo</w:t>
      </w:r>
      <w:proofErr w:type="spellEnd"/>
      <w:r w:rsidRPr="0081707F" w:rsidR="00DB3B60">
        <w:rPr>
          <w:rFonts w:ascii="Arial" w:hAnsi="Arial" w:eastAsia="Deto Grotesk" w:cs="Arial"/>
          <w:shd w:val="clear" w:color="auto" w:fill="FFFFFF"/>
        </w:rPr>
        <w:t>", ale odvážny a spoločensky zodpovedný čin. Oznamovatelia to nerobia pre to, aby niekomu uškodili alebo získali nejakú osobnú výhodu. Práve naopak, chcú zabrániť škode a ochrániť verejný záujem, teda záujmy nás všetkých.</w:t>
      </w:r>
    </w:p>
    <w:p w:rsidR="00B6291C" w:rsidP="009808B5" w:rsidRDefault="00B6291C" w14:paraId="240BF320" w14:textId="40AC282E">
      <w:pPr>
        <w:pStyle w:val="Odsekzoznamu"/>
        <w:spacing w:after="0" w:line="240" w:lineRule="auto"/>
        <w:ind w:left="0"/>
        <w:jc w:val="both"/>
        <w:rPr>
          <w:rFonts w:ascii="Arial" w:hAnsi="Arial" w:eastAsia="Deto Grotesk" w:cs="Arial"/>
        </w:rPr>
      </w:pPr>
    </w:p>
    <w:p w:rsidR="009808B5" w:rsidP="009808B5" w:rsidRDefault="009808B5" w14:paraId="278E3D69" w14:textId="77777777">
      <w:pPr>
        <w:pStyle w:val="Odsekzoznamu"/>
        <w:spacing w:after="0" w:line="240" w:lineRule="auto"/>
        <w:ind w:left="0"/>
        <w:jc w:val="both"/>
        <w:rPr>
          <w:rFonts w:ascii="Arial" w:hAnsi="Arial" w:eastAsia="Deto Grotesk" w:cs="Arial"/>
        </w:rPr>
      </w:pPr>
    </w:p>
    <w:p w:rsidRPr="0081707F" w:rsidR="009808B5" w:rsidP="009808B5" w:rsidRDefault="009808B5" w14:paraId="2D433173" w14:textId="77777777">
      <w:pPr>
        <w:pStyle w:val="Odsekzoznamu"/>
        <w:spacing w:after="0" w:line="240" w:lineRule="auto"/>
        <w:ind w:left="0"/>
        <w:jc w:val="both"/>
        <w:rPr>
          <w:rFonts w:ascii="Arial" w:hAnsi="Arial" w:eastAsia="Deto Grotesk" w:cs="Arial"/>
        </w:rPr>
      </w:pPr>
    </w:p>
    <w:p w:rsidRPr="009808B5" w:rsidR="008F445D" w:rsidP="0081707F" w:rsidRDefault="00DB3B60" w14:paraId="5C8EEC62" w14:textId="3CFC95F1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Arial" w:hAnsi="Arial" w:eastAsia="Deto Grotesk" w:cs="Arial"/>
          <w:b/>
          <w:bCs/>
          <w:sz w:val="24"/>
          <w:szCs w:val="24"/>
        </w:rPr>
      </w:pPr>
      <w:r w:rsidRPr="009808B5">
        <w:rPr>
          <w:rFonts w:ascii="Arial" w:hAnsi="Arial" w:eastAsia="Deto Grotesk" w:cs="Arial"/>
          <w:b/>
          <w:bCs/>
          <w:sz w:val="24"/>
          <w:szCs w:val="24"/>
        </w:rPr>
        <w:t>Definovanie základných pojmov</w:t>
      </w:r>
    </w:p>
    <w:p w:rsidR="009808B5" w:rsidP="0081707F" w:rsidRDefault="009808B5" w14:paraId="4E6CD820" w14:textId="77777777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  <w:b/>
          <w:bCs/>
        </w:rPr>
      </w:pPr>
    </w:p>
    <w:p w:rsidR="00DB3B60" w:rsidP="0081707F" w:rsidRDefault="00DB3B60" w14:paraId="7C399A23" w14:textId="4FD58C1B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t>Zodpovednú osobu</w:t>
      </w:r>
      <w:r w:rsidRPr="0081707F">
        <w:rPr>
          <w:rFonts w:ascii="Arial" w:hAnsi="Arial" w:eastAsia="Deto Grotesk" w:cs="Arial"/>
        </w:rPr>
        <w:t xml:space="preserve"> chápeme ako osobu plniacu úlohy, ktoré vyplývajú zamestnávateľovi zo zákona o ochrane oznamovateľov protispoločenskej činnosti. </w:t>
      </w:r>
      <w:r w:rsidRPr="0081707F" w:rsidR="00AA54A8">
        <w:rPr>
          <w:rFonts w:ascii="Arial" w:hAnsi="Arial" w:eastAsia="Deto Grotesk" w:cs="Arial"/>
        </w:rPr>
        <w:t>To znamená, že prijíma</w:t>
      </w:r>
      <w:r w:rsidRPr="0081707F" w:rsidR="00083411">
        <w:rPr>
          <w:rFonts w:ascii="Arial" w:hAnsi="Arial" w:eastAsia="Deto Grotesk" w:cs="Arial"/>
        </w:rPr>
        <w:t>, eviduje</w:t>
      </w:r>
      <w:r w:rsidRPr="0081707F" w:rsidR="00AA54A8">
        <w:rPr>
          <w:rFonts w:ascii="Arial" w:hAnsi="Arial" w:eastAsia="Deto Grotesk" w:cs="Arial"/>
        </w:rPr>
        <w:t xml:space="preserve"> a preveruje oznámenia o protispoločenskej činnosti zamestnancov.</w:t>
      </w:r>
      <w:r w:rsidRPr="0081707F">
        <w:rPr>
          <w:rFonts w:ascii="Arial" w:hAnsi="Arial" w:eastAsia="Deto Grotesk" w:cs="Arial"/>
        </w:rPr>
        <w:t xml:space="preserve">  </w:t>
      </w:r>
    </w:p>
    <w:p w:rsidRPr="0081707F" w:rsidR="009808B5" w:rsidP="0081707F" w:rsidRDefault="009808B5" w14:paraId="1FC85CF4" w14:textId="77777777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</w:p>
    <w:p w:rsidRPr="0081707F" w:rsidR="00DB3B60" w:rsidP="0081707F" w:rsidRDefault="00DB3B60" w14:paraId="1BB13BF7" w14:textId="1F000321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lastRenderedPageBreak/>
        <w:t>Protispoločenskú činnosť</w:t>
      </w:r>
      <w:r w:rsidRPr="0081707F">
        <w:rPr>
          <w:rFonts w:ascii="Arial" w:hAnsi="Arial" w:eastAsia="Deto Grotesk" w:cs="Arial"/>
        </w:rPr>
        <w:t xml:space="preserve"> chápeme ako konanie, ktoré je trestným činom, priestupkom alebo iným správnym deliktom, alebo pôsobí negatívne na spoločnosť</w:t>
      </w:r>
      <w:r w:rsidRPr="0081707F" w:rsidR="7525CF42">
        <w:rPr>
          <w:rFonts w:ascii="Arial" w:hAnsi="Arial" w:eastAsia="Deto Grotesk" w:cs="Arial"/>
        </w:rPr>
        <w:t xml:space="preserve"> tým, že ohrozuje verejný záujem.</w:t>
      </w:r>
    </w:p>
    <w:p w:rsidRPr="0081707F" w:rsidR="00DB3B60" w:rsidP="0081707F" w:rsidRDefault="00DB3B60" w14:paraId="79563AA9" w14:textId="77777777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Môže ísť napríklad o toto konanie: </w:t>
      </w:r>
    </w:p>
    <w:p w:rsidRPr="0081707F" w:rsidR="00DB3B60" w:rsidP="0081707F" w:rsidRDefault="00DB3B60" w14:paraId="7C154D9E" w14:textId="77777777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trestný čin poškodzovania finančných záujmov EÚ</w:t>
      </w:r>
    </w:p>
    <w:p w:rsidRPr="0081707F" w:rsidR="00DB3B60" w:rsidP="0081707F" w:rsidRDefault="00DB3B60" w14:paraId="584F99B6" w14:textId="77777777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trestný čin machinácií pri verejnom obstarávaní a verejnej dražbe</w:t>
      </w:r>
    </w:p>
    <w:p w:rsidRPr="0081707F" w:rsidR="00DB3B60" w:rsidP="0081707F" w:rsidRDefault="00DB3B60" w14:paraId="00C8C9F1" w14:textId="77777777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trestné činy verejných činiteľov</w:t>
      </w:r>
    </w:p>
    <w:p w:rsidRPr="0081707F" w:rsidR="00DB3B60" w:rsidP="0081707F" w:rsidRDefault="00DB3B60" w14:paraId="31F7C877" w14:textId="77777777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trestné činy korupcie</w:t>
      </w:r>
    </w:p>
    <w:p w:rsidRPr="0081707F" w:rsidR="00DB3B60" w:rsidP="0081707F" w:rsidRDefault="3DDA7B41" w14:paraId="09D253A1" w14:textId="452B4D50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iné trestné činy </w:t>
      </w:r>
    </w:p>
    <w:p w:rsidRPr="0081707F" w:rsidR="004231E5" w:rsidP="0081707F" w:rsidRDefault="00DB3B60" w14:paraId="2FFDC9FB" w14:textId="224F4C6B">
      <w:pPr>
        <w:pStyle w:val="Odsekzoznamu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priestupky a iné správne delikty</w:t>
      </w:r>
    </w:p>
    <w:p w:rsidRPr="0081707F" w:rsidR="001E0959" w:rsidP="0081707F" w:rsidRDefault="001E0959" w14:paraId="1AAF92CA" w14:textId="77777777">
      <w:pPr>
        <w:spacing w:after="0" w:line="360" w:lineRule="auto"/>
        <w:jc w:val="both"/>
        <w:rPr>
          <w:rFonts w:ascii="Arial" w:hAnsi="Arial" w:eastAsia="Deto Grotesk" w:cs="Arial"/>
          <w:b/>
          <w:bCs/>
        </w:rPr>
      </w:pPr>
    </w:p>
    <w:p w:rsidRPr="0081707F" w:rsidR="001E0959" w:rsidP="0081707F" w:rsidRDefault="0C5B3A3F" w14:paraId="7C277401" w14:textId="5939D50F">
      <w:pPr>
        <w:spacing w:after="0" w:line="360" w:lineRule="auto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t>O</w:t>
      </w:r>
      <w:r w:rsidRPr="0081707F" w:rsidR="00DB3B60">
        <w:rPr>
          <w:rFonts w:ascii="Arial" w:hAnsi="Arial" w:eastAsia="Deto Grotesk" w:cs="Arial"/>
          <w:b/>
          <w:bCs/>
        </w:rPr>
        <w:t>známenie</w:t>
      </w:r>
      <w:r w:rsidRPr="0081707F">
        <w:rPr>
          <w:rFonts w:ascii="Arial" w:hAnsi="Arial" w:eastAsia="Deto Grotesk" w:cs="Arial"/>
          <w:b/>
          <w:bCs/>
        </w:rPr>
        <w:t xml:space="preserve"> </w:t>
      </w:r>
      <w:r w:rsidRPr="0081707F" w:rsidR="30B9286D">
        <w:rPr>
          <w:rFonts w:ascii="Arial" w:hAnsi="Arial" w:eastAsia="Deto Grotesk" w:cs="Arial"/>
        </w:rPr>
        <w:t xml:space="preserve">je </w:t>
      </w:r>
      <w:r w:rsidRPr="0081707F" w:rsidR="1D479078">
        <w:rPr>
          <w:rFonts w:ascii="Arial" w:hAnsi="Arial" w:eastAsia="Deto Grotesk" w:cs="Arial"/>
        </w:rPr>
        <w:t xml:space="preserve">dobromyseľné </w:t>
      </w:r>
      <w:r w:rsidRPr="0081707F">
        <w:rPr>
          <w:rFonts w:ascii="Arial" w:hAnsi="Arial" w:eastAsia="Deto Grotesk" w:cs="Arial"/>
        </w:rPr>
        <w:t>uvedenie skutočností, ktoré ozn</w:t>
      </w:r>
      <w:r w:rsidRPr="0081707F" w:rsidR="1F0ACB49">
        <w:rPr>
          <w:rFonts w:ascii="Arial" w:hAnsi="Arial" w:eastAsia="Deto Grotesk" w:cs="Arial"/>
        </w:rPr>
        <w:t>amujeme prokuratúre, správnemu orgánu, Úradu na ochranu oznamovateľov alebo svojmu zamestnávateľovi</w:t>
      </w:r>
      <w:r w:rsidRPr="0081707F" w:rsidR="001E0959">
        <w:rPr>
          <w:rFonts w:ascii="Arial" w:hAnsi="Arial" w:eastAsia="Deto Grotesk" w:cs="Arial"/>
        </w:rPr>
        <w:t>,</w:t>
      </w:r>
      <w:r w:rsidRPr="0081707F" w:rsidR="00DB3B60">
        <w:rPr>
          <w:rFonts w:ascii="Arial" w:hAnsi="Arial" w:eastAsia="Deto Grotesk" w:cs="Arial"/>
        </w:rPr>
        <w:t xml:space="preserve"> o ktorých s</w:t>
      </w:r>
      <w:r w:rsidRPr="0081707F" w:rsidR="29B23E4D">
        <w:rPr>
          <w:rFonts w:ascii="Arial" w:hAnsi="Arial" w:eastAsia="Deto Grotesk" w:cs="Arial"/>
        </w:rPr>
        <w:t>me</w:t>
      </w:r>
      <w:r w:rsidRPr="0081707F" w:rsidR="00DB3B60">
        <w:rPr>
          <w:rFonts w:ascii="Arial" w:hAnsi="Arial" w:eastAsia="Deto Grotesk" w:cs="Arial"/>
        </w:rPr>
        <w:t xml:space="preserve"> sa dozvedeli v súvislosti s výkonom </w:t>
      </w:r>
      <w:r w:rsidRPr="0081707F" w:rsidR="57BF131E">
        <w:rPr>
          <w:rFonts w:ascii="Arial" w:hAnsi="Arial" w:eastAsia="Deto Grotesk" w:cs="Arial"/>
        </w:rPr>
        <w:t>n</w:t>
      </w:r>
      <w:r w:rsidRPr="0081707F" w:rsidR="00DB3B60">
        <w:rPr>
          <w:rFonts w:ascii="Arial" w:hAnsi="Arial" w:eastAsia="Deto Grotesk" w:cs="Arial"/>
        </w:rPr>
        <w:t>ašej práce a týkajú sa protispoločenskej činnosti</w:t>
      </w:r>
      <w:r w:rsidRPr="0081707F" w:rsidR="001E0959">
        <w:rPr>
          <w:rFonts w:ascii="Arial" w:hAnsi="Arial" w:eastAsia="Deto Grotesk" w:cs="Arial"/>
        </w:rPr>
        <w:t xml:space="preserve">. </w:t>
      </w:r>
      <w:r w:rsidRPr="0081707F" w:rsidR="100B9B06">
        <w:rPr>
          <w:rFonts w:ascii="Arial" w:hAnsi="Arial" w:eastAsia="Deto Grotesk" w:cs="Arial"/>
        </w:rPr>
        <w:t xml:space="preserve">Synonymom oznamovania podľa zákona č. 54/2019 Z. z. o ochrane oznamovateľov protispoločenskej činnosti je aj anglický pojem </w:t>
      </w:r>
      <w:proofErr w:type="spellStart"/>
      <w:r w:rsidRPr="0081707F" w:rsidR="100B9B06">
        <w:rPr>
          <w:rFonts w:ascii="Arial" w:hAnsi="Arial" w:eastAsia="Deto Grotesk" w:cs="Arial"/>
        </w:rPr>
        <w:t>whistleblowing</w:t>
      </w:r>
      <w:proofErr w:type="spellEnd"/>
      <w:r w:rsidRPr="0081707F" w:rsidR="100B9B06">
        <w:rPr>
          <w:rFonts w:ascii="Arial" w:hAnsi="Arial" w:eastAsia="Deto Grotesk" w:cs="Arial"/>
        </w:rPr>
        <w:t>.</w:t>
      </w:r>
    </w:p>
    <w:p w:rsidRPr="0081707F" w:rsidR="001E0959" w:rsidP="0081707F" w:rsidRDefault="001E0959" w14:paraId="02462D05" w14:textId="77777777">
      <w:pPr>
        <w:spacing w:after="0" w:line="360" w:lineRule="auto"/>
        <w:jc w:val="both"/>
        <w:rPr>
          <w:rFonts w:ascii="Arial" w:hAnsi="Arial" w:eastAsia="Deto Grotesk" w:cs="Arial"/>
          <w:b/>
          <w:bCs/>
        </w:rPr>
      </w:pPr>
    </w:p>
    <w:p w:rsidRPr="0081707F" w:rsidR="001E0959" w:rsidP="0081707F" w:rsidRDefault="00DB3B60" w14:paraId="78AB493E" w14:textId="556DA79E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t>Konflikt záujmov</w:t>
      </w:r>
      <w:r w:rsidRPr="0081707F">
        <w:rPr>
          <w:rFonts w:ascii="Arial" w:hAnsi="Arial" w:eastAsia="Deto Grotesk" w:cs="Arial"/>
        </w:rPr>
        <w:t xml:space="preserve"> je situácia, keď súkromný záujem môže vplývať na nezávislé plnenie úloh vykonávaných vo verejnom záujme. Teda situácie, ktoré môžu ohroziť nestrannosť a nezávislosť v rozhodovaní, a tým aj reputáciu či finančné zdravie organizácie.</w:t>
      </w:r>
    </w:p>
    <w:p w:rsidRPr="0081707F" w:rsidR="001E0959" w:rsidP="0081707F" w:rsidRDefault="001E0959" w14:paraId="6BDB4186" w14:textId="77777777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</w:p>
    <w:p w:rsidRPr="0081707F" w:rsidR="00DB3B60" w:rsidP="0081707F" w:rsidRDefault="00DB3B60" w14:paraId="5A0654EE" w14:textId="309EAEEB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t xml:space="preserve">Vnútorný systém oznamovania </w:t>
      </w:r>
      <w:r w:rsidRPr="0081707F">
        <w:rPr>
          <w:rFonts w:ascii="Arial" w:hAnsi="Arial" w:eastAsia="Deto Grotesk" w:cs="Arial"/>
        </w:rPr>
        <w:t>protispoločenskej činnosti (interná smernica) je špecifick</w:t>
      </w:r>
      <w:r w:rsidRPr="0081707F" w:rsidR="00714DA2">
        <w:rPr>
          <w:rFonts w:ascii="Arial" w:hAnsi="Arial" w:eastAsia="Deto Grotesk" w:cs="Arial"/>
        </w:rPr>
        <w:t>ý</w:t>
      </w:r>
      <w:r w:rsidRPr="0081707F">
        <w:rPr>
          <w:rFonts w:ascii="Arial" w:hAnsi="Arial" w:eastAsia="Deto Grotesk" w:cs="Arial"/>
        </w:rPr>
        <w:t xml:space="preserve"> pre každú inštitúciu. Detailne popisuje postup ako urobiť oznámenie. Teda, aké informácie sú potrebné pre jeho úspešné preverenie. Tu je potrebné sa pristaviť pri niekoľkých dôležitých bodoch: </w:t>
      </w:r>
    </w:p>
    <w:p w:rsidRPr="0081707F" w:rsidR="00DB3B60" w:rsidP="0081707F" w:rsidRDefault="00752251" w14:paraId="3FF52526" w14:textId="20FA6C63">
      <w:pPr>
        <w:pStyle w:val="Odsekzoznamu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>P</w:t>
      </w:r>
      <w:r w:rsidRPr="0081707F" w:rsidR="00DB3B60">
        <w:rPr>
          <w:rFonts w:ascii="Arial" w:hAnsi="Arial" w:eastAsia="Deto Grotesk" w:cs="Arial"/>
          <w:i/>
          <w:iCs/>
        </w:rPr>
        <w:t xml:space="preserve">rečo je lepšie, ak sa pod </w:t>
      </w:r>
      <w:r w:rsidRPr="0081707F">
        <w:rPr>
          <w:rFonts w:ascii="Arial" w:hAnsi="Arial" w:eastAsia="Deto Grotesk" w:cs="Arial"/>
          <w:i/>
          <w:iCs/>
        </w:rPr>
        <w:t>oznámenie</w:t>
      </w:r>
      <w:r w:rsidRPr="0081707F" w:rsidR="00DB3B60">
        <w:rPr>
          <w:rFonts w:ascii="Arial" w:hAnsi="Arial" w:eastAsia="Deto Grotesk" w:cs="Arial"/>
          <w:i/>
          <w:iCs/>
        </w:rPr>
        <w:t xml:space="preserve"> podpíšete a</w:t>
      </w:r>
      <w:r w:rsidRPr="0081707F">
        <w:rPr>
          <w:rFonts w:ascii="Arial" w:hAnsi="Arial" w:eastAsia="Deto Grotesk" w:cs="Arial"/>
          <w:i/>
          <w:iCs/>
        </w:rPr>
        <w:t> nepodáte ho anonymne</w:t>
      </w:r>
      <w:r w:rsidRPr="0081707F" w:rsidR="00DB3B60">
        <w:rPr>
          <w:rFonts w:ascii="Arial" w:hAnsi="Arial" w:eastAsia="Deto Grotesk" w:cs="Arial"/>
          <w:i/>
          <w:iCs/>
        </w:rPr>
        <w:t xml:space="preserve">? </w:t>
      </w:r>
    </w:p>
    <w:p w:rsidRPr="0081707F" w:rsidR="00DB3B60" w:rsidP="0081707F" w:rsidRDefault="00DB3B60" w14:paraId="7EB12A3C" w14:textId="27E05EB8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V prípade potreby doplnenia informácií je opätovné kontaktovanie anonymného zdroja komplikovanejšie a môže to predĺžiť dobu preverovania oznámenia. </w:t>
      </w:r>
      <w:r w:rsidRPr="0081707F" w:rsidR="00B74AF4">
        <w:rPr>
          <w:rFonts w:ascii="Arial" w:hAnsi="Arial" w:eastAsia="Deto Grotesk" w:cs="Arial"/>
        </w:rPr>
        <w:t>V prospech neanonymného podania hovorí aj</w:t>
      </w:r>
      <w:r w:rsidRPr="0081707F" w:rsidR="00572373">
        <w:rPr>
          <w:rFonts w:ascii="Arial" w:hAnsi="Arial" w:eastAsia="Deto Grotesk" w:cs="Arial"/>
        </w:rPr>
        <w:t xml:space="preserve"> fakt, že môžete získať tzv. status chráneného oznamovateľa, vďaka čomu </w:t>
      </w:r>
      <w:r w:rsidRPr="0081707F" w:rsidR="00E0659D">
        <w:rPr>
          <w:rFonts w:ascii="Arial" w:hAnsi="Arial" w:eastAsia="Deto Grotesk" w:cs="Arial"/>
        </w:rPr>
        <w:t xml:space="preserve">vás vie Úrad </w:t>
      </w:r>
      <w:r w:rsidRPr="0081707F">
        <w:rPr>
          <w:rFonts w:ascii="Arial" w:hAnsi="Arial" w:eastAsia="Deto Grotesk" w:cs="Arial"/>
        </w:rPr>
        <w:t>na ochranu oznamovateľov</w:t>
      </w:r>
      <w:r w:rsidRPr="0081707F" w:rsidR="00A47FA9">
        <w:rPr>
          <w:rFonts w:ascii="Arial" w:hAnsi="Arial" w:eastAsia="Deto Grotesk" w:cs="Arial"/>
        </w:rPr>
        <w:t xml:space="preserve"> chrániť aj preventívne</w:t>
      </w:r>
      <w:r w:rsidRPr="0081707F">
        <w:rPr>
          <w:rFonts w:ascii="Arial" w:hAnsi="Arial" w:eastAsia="Deto Grotesk" w:cs="Arial"/>
        </w:rPr>
        <w:t xml:space="preserve">. Samozrejme, zodpovedná osoba má </w:t>
      </w:r>
      <w:r w:rsidRPr="0081707F" w:rsidR="00EE687E">
        <w:rPr>
          <w:rFonts w:ascii="Arial" w:hAnsi="Arial" w:eastAsia="Deto Grotesk" w:cs="Arial"/>
        </w:rPr>
        <w:t xml:space="preserve">za každých okolností </w:t>
      </w:r>
      <w:r w:rsidRPr="0081707F">
        <w:rPr>
          <w:rFonts w:ascii="Arial" w:hAnsi="Arial" w:eastAsia="Deto Grotesk" w:cs="Arial"/>
        </w:rPr>
        <w:t xml:space="preserve">povinnosť preverovať oznámenie tak, aby sa oznamovateľ nemusel obávať prezradenia identity a represálií.  </w:t>
      </w:r>
    </w:p>
    <w:p w:rsidRPr="0081707F" w:rsidR="16C84927" w:rsidP="0081707F" w:rsidRDefault="16C84927" w14:paraId="2245C889" w14:textId="2913FEB8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Každopádne, ak sa obávate</w:t>
      </w:r>
      <w:r w:rsidRPr="0081707F" w:rsidR="69D1C119">
        <w:rPr>
          <w:rFonts w:ascii="Arial" w:hAnsi="Arial" w:eastAsia="Deto Grotesk" w:cs="Arial"/>
        </w:rPr>
        <w:t xml:space="preserve">, </w:t>
      </w:r>
      <w:r w:rsidRPr="0081707F">
        <w:rPr>
          <w:rFonts w:ascii="Arial" w:hAnsi="Arial" w:eastAsia="Deto Grotesk" w:cs="Arial"/>
        </w:rPr>
        <w:t xml:space="preserve">je vždy lepšie oznámiť porušovanie zákona na pracovisku aspoň anonymne ako vôbec. </w:t>
      </w:r>
      <w:r w:rsidRPr="0081707F" w:rsidR="61B628FE">
        <w:rPr>
          <w:rFonts w:ascii="Arial" w:hAnsi="Arial" w:eastAsia="Deto Grotesk" w:cs="Arial"/>
        </w:rPr>
        <w:t xml:space="preserve">V tomto prípade je však obzvlášť dôležité uviesť podrobne všetky informácie a podklady, ktorými disponujete, aby oznámenie mohlo byť riadne preverené. </w:t>
      </w:r>
    </w:p>
    <w:p w:rsidRPr="0081707F" w:rsidR="00DB3B60" w:rsidP="0081707F" w:rsidRDefault="00DB3B60" w14:paraId="6DAE2B2B" w14:textId="1E128ABA">
      <w:pPr>
        <w:pStyle w:val="Odsekzoznamu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lastRenderedPageBreak/>
        <w:t xml:space="preserve">Je konanie, ktoré chcete </w:t>
      </w:r>
      <w:r w:rsidRPr="0081707F" w:rsidR="456D7B66">
        <w:rPr>
          <w:rFonts w:ascii="Arial" w:hAnsi="Arial" w:eastAsia="Deto Grotesk" w:cs="Arial"/>
          <w:i/>
          <w:iCs/>
        </w:rPr>
        <w:t>oznámi</w:t>
      </w:r>
      <w:r w:rsidRPr="0081707F">
        <w:rPr>
          <w:rFonts w:ascii="Arial" w:hAnsi="Arial" w:eastAsia="Deto Grotesk" w:cs="Arial"/>
          <w:i/>
          <w:iCs/>
        </w:rPr>
        <w:t>ť</w:t>
      </w:r>
      <w:r w:rsidRPr="0081707F" w:rsidR="00EE687E">
        <w:rPr>
          <w:rFonts w:ascii="Arial" w:hAnsi="Arial" w:eastAsia="Deto Grotesk" w:cs="Arial"/>
          <w:i/>
          <w:iCs/>
        </w:rPr>
        <w:t>,</w:t>
      </w:r>
      <w:r w:rsidRPr="0081707F">
        <w:rPr>
          <w:rFonts w:ascii="Arial" w:hAnsi="Arial" w:eastAsia="Deto Grotesk" w:cs="Arial"/>
          <w:i/>
          <w:iCs/>
        </w:rPr>
        <w:t xml:space="preserve"> skutočne protispoločenská činnosť alebo je to skôr sťažnosť na niečo, čo vám osobne prekáža? </w:t>
      </w:r>
    </w:p>
    <w:p w:rsidRPr="0081707F" w:rsidR="00DB3B60" w:rsidP="0081707F" w:rsidRDefault="00DB3B60" w14:paraId="4DBAF5B3" w14:textId="5BC14AF6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Pred podaním oznámenia je potrebné sa z</w:t>
      </w:r>
      <w:r w:rsidRPr="0081707F" w:rsidR="5CE3D4B5">
        <w:rPr>
          <w:rFonts w:ascii="Arial" w:hAnsi="Arial" w:eastAsia="Deto Grotesk" w:cs="Arial"/>
        </w:rPr>
        <w:t>a</w:t>
      </w:r>
      <w:r w:rsidRPr="0081707F">
        <w:rPr>
          <w:rFonts w:ascii="Arial" w:hAnsi="Arial" w:eastAsia="Deto Grotesk" w:cs="Arial"/>
        </w:rPr>
        <w:t>myslieť, či konanie, ktoré chcete o</w:t>
      </w:r>
      <w:r w:rsidRPr="0081707F" w:rsidR="5E6E395C">
        <w:rPr>
          <w:rFonts w:ascii="Arial" w:hAnsi="Arial" w:eastAsia="Deto Grotesk" w:cs="Arial"/>
        </w:rPr>
        <w:t>znám</w:t>
      </w:r>
      <w:r w:rsidRPr="0081707F">
        <w:rPr>
          <w:rFonts w:ascii="Arial" w:hAnsi="Arial" w:eastAsia="Deto Grotesk" w:cs="Arial"/>
        </w:rPr>
        <w:t>iť, spadá do kategórie trestných činov či správnych deliktov. Prípadne, či presahuje záujmy jednotlivca a má negatívny dopad na celú spoločnosť</w:t>
      </w:r>
      <w:r w:rsidRPr="0081707F" w:rsidR="3D60D785">
        <w:rPr>
          <w:rFonts w:ascii="Arial" w:hAnsi="Arial" w:eastAsia="Deto Grotesk" w:cs="Arial"/>
        </w:rPr>
        <w:t>,</w:t>
      </w:r>
      <w:r w:rsidRPr="0081707F" w:rsidR="5499EB98">
        <w:rPr>
          <w:rFonts w:ascii="Arial" w:hAnsi="Arial" w:eastAsia="Deto Grotesk" w:cs="Arial"/>
        </w:rPr>
        <w:t xml:space="preserve"> a teda ohrozuje verejný záujem</w:t>
      </w:r>
      <w:r w:rsidRPr="0081707F">
        <w:rPr>
          <w:rFonts w:ascii="Arial" w:hAnsi="Arial" w:eastAsia="Deto Grotesk" w:cs="Arial"/>
        </w:rPr>
        <w:t xml:space="preserve">. Ak áno, tak je určite potrebné oznámenie podať. Ak nie, pravdepodobne ide o sťažnosť, ktorú zvyčajne rieši personálne oddelenie </w:t>
      </w:r>
      <w:r w:rsidRPr="0081707F" w:rsidR="0047644E">
        <w:rPr>
          <w:rFonts w:ascii="Arial" w:hAnsi="Arial" w:eastAsia="Deto Grotesk" w:cs="Arial"/>
        </w:rPr>
        <w:t>/ odbor sťažností inštitúcie</w:t>
      </w:r>
      <w:r w:rsidRPr="0081707F">
        <w:rPr>
          <w:rFonts w:ascii="Arial" w:hAnsi="Arial" w:eastAsia="Deto Grotesk" w:cs="Arial"/>
        </w:rPr>
        <w:t xml:space="preserve">.   </w:t>
      </w:r>
    </w:p>
    <w:p w:rsidRPr="0081707F" w:rsidR="00DB3B60" w:rsidP="0081707F" w:rsidRDefault="00DB3B60" w14:paraId="1870AF38" w14:textId="77777777">
      <w:pPr>
        <w:pStyle w:val="Odsekzoznamu"/>
        <w:spacing w:after="0" w:line="360" w:lineRule="auto"/>
        <w:ind w:left="0"/>
        <w:jc w:val="both"/>
        <w:rPr>
          <w:rFonts w:ascii="Arial" w:hAnsi="Arial" w:eastAsia="Deto Grotesk" w:cs="Arial"/>
        </w:rPr>
      </w:pPr>
    </w:p>
    <w:p w:rsidRPr="0081707F" w:rsidR="00DB3B60" w:rsidP="0081707F" w:rsidRDefault="2962CDA3" w14:paraId="6D14D107" w14:textId="77777777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  <w:b/>
          <w:bCs/>
        </w:rPr>
        <w:t>Preverenie oznámenia</w:t>
      </w:r>
      <w:r w:rsidRPr="0081707F">
        <w:rPr>
          <w:rFonts w:ascii="Arial" w:hAnsi="Arial" w:eastAsia="Deto Grotesk" w:cs="Arial"/>
        </w:rPr>
        <w:t xml:space="preserve"> je úkon, ktorý má mať svoj presný postup a proces. Oznámenie môžete podať dvoma kanálmi: externe a interne. </w:t>
      </w:r>
    </w:p>
    <w:p w:rsidRPr="0081707F" w:rsidR="00DB3B60" w:rsidP="0081707F" w:rsidRDefault="2962CDA3" w14:paraId="15B3743F" w14:textId="07736472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30EA6FD8" w:rsidR="2962CDA3">
        <w:rPr>
          <w:rFonts w:ascii="Arial" w:hAnsi="Arial" w:eastAsia="Deto Grotesk" w:cs="Arial"/>
        </w:rPr>
        <w:t xml:space="preserve">Externé podanie možno  podať  na </w:t>
      </w:r>
      <w:r w:rsidRPr="30EA6FD8" w:rsidR="2962CDA3">
        <w:rPr>
          <w:rFonts w:ascii="Arial" w:hAnsi="Arial" w:eastAsia="Deto Grotesk" w:cs="Arial"/>
        </w:rPr>
        <w:t>prokuratúre, správnych orgánoch</w:t>
      </w:r>
      <w:r w:rsidRPr="30EA6FD8" w:rsidR="7F997BF5">
        <w:rPr>
          <w:rFonts w:ascii="Arial" w:hAnsi="Arial" w:eastAsia="Deto Grotesk" w:cs="Arial"/>
        </w:rPr>
        <w:t>,</w:t>
      </w:r>
      <w:r w:rsidRPr="30EA6FD8" w:rsidR="2962CDA3">
        <w:rPr>
          <w:rFonts w:ascii="Arial" w:hAnsi="Arial" w:eastAsia="Deto Grotesk" w:cs="Arial"/>
        </w:rPr>
        <w:t xml:space="preserve"> Úrade na ochranu oznamovateľov</w:t>
      </w:r>
      <w:r w:rsidRPr="30EA6FD8" w:rsidR="3EDFF7E2">
        <w:rPr>
          <w:rFonts w:ascii="Arial" w:hAnsi="Arial" w:eastAsia="Deto Grotesk" w:cs="Arial"/>
        </w:rPr>
        <w:t xml:space="preserve"> alebo príslušných orgánoch EÚ</w:t>
      </w:r>
      <w:r w:rsidRPr="30EA6FD8" w:rsidR="2962CDA3">
        <w:rPr>
          <w:rFonts w:ascii="Arial" w:hAnsi="Arial" w:eastAsia="Deto Grotesk" w:cs="Arial"/>
        </w:rPr>
        <w:t xml:space="preserve">. </w:t>
      </w:r>
    </w:p>
    <w:p w:rsidRPr="0081707F" w:rsidR="00DB3B60" w:rsidP="0081707F" w:rsidRDefault="2962CDA3" w14:paraId="7CEDD3FA" w14:textId="488F9E64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30EA6FD8" w:rsidR="2962CDA3">
        <w:rPr>
          <w:rFonts w:ascii="Arial" w:hAnsi="Arial" w:eastAsia="Deto Grotesk" w:cs="Arial"/>
        </w:rPr>
        <w:t xml:space="preserve">Interné oznámenie podávate zodpovednej osobe na pracovisku (elektronicky, poštou alebo </w:t>
      </w:r>
      <w:r w:rsidRPr="30EA6FD8" w:rsidR="76D42354">
        <w:rPr>
          <w:rFonts w:ascii="Arial" w:hAnsi="Arial" w:eastAsia="Deto Grotesk" w:cs="Arial"/>
        </w:rPr>
        <w:t>ústne</w:t>
      </w:r>
      <w:r w:rsidRPr="30EA6FD8" w:rsidR="2962CDA3">
        <w:rPr>
          <w:rFonts w:ascii="Arial" w:hAnsi="Arial" w:eastAsia="Deto Grotesk" w:cs="Arial"/>
        </w:rPr>
        <w:t>)</w:t>
      </w:r>
      <w:r w:rsidRPr="30EA6FD8" w:rsidR="00B6291C">
        <w:rPr>
          <w:rFonts w:ascii="Arial" w:hAnsi="Arial" w:eastAsia="Deto Grotesk" w:cs="Arial"/>
        </w:rPr>
        <w:t>.</w:t>
      </w:r>
      <w:r w:rsidRPr="30EA6FD8" w:rsidR="2962CDA3">
        <w:rPr>
          <w:rFonts w:ascii="Arial" w:hAnsi="Arial" w:eastAsia="Deto Grotesk" w:cs="Arial"/>
        </w:rPr>
        <w:t xml:space="preserve"> Celý postup interného oznámenia</w:t>
      </w:r>
      <w:r w:rsidRPr="30EA6FD8" w:rsidR="00B6291C">
        <w:rPr>
          <w:rFonts w:ascii="Arial" w:hAnsi="Arial" w:eastAsia="Deto Grotesk" w:cs="Arial"/>
        </w:rPr>
        <w:t xml:space="preserve"> a jeho následného preverenia</w:t>
      </w:r>
      <w:r w:rsidRPr="30EA6FD8" w:rsidR="2962CDA3">
        <w:rPr>
          <w:rFonts w:ascii="Arial" w:hAnsi="Arial" w:eastAsia="Deto Grotesk" w:cs="Arial"/>
        </w:rPr>
        <w:t xml:space="preserve"> je popísaný vo vnútornej smernici o podávaní a preverovaní oznámení. </w:t>
      </w:r>
    </w:p>
    <w:p w:rsidRPr="0081707F" w:rsidR="00DB3B60" w:rsidP="0081707F" w:rsidRDefault="00DB3B60" w14:paraId="0404291B" w14:textId="4F44CA90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  <w:b/>
          <w:bCs/>
        </w:rPr>
      </w:pPr>
    </w:p>
    <w:p w:rsidRPr="0081707F" w:rsidR="001E0959" w:rsidP="0081707F" w:rsidRDefault="00DB3B60" w14:paraId="5B2684A1" w14:textId="13E76AB9">
      <w:pPr>
        <w:pStyle w:val="Odsekzoznamu"/>
        <w:tabs>
          <w:tab w:val="left" w:pos="284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  <w:b w:val="1"/>
          <w:bCs w:val="1"/>
        </w:rPr>
        <w:t>Úrad na ochranu oznamovateľov</w:t>
      </w:r>
      <w:r w:rsidRPr="30EA6FD8" w:rsidR="00DB3B60">
        <w:rPr>
          <w:rFonts w:ascii="Arial" w:hAnsi="Arial" w:eastAsia="Deto Grotesk" w:cs="Arial"/>
        </w:rPr>
        <w:t xml:space="preserve"> je nezávislý orgán štátnej správy s celoštátnou </w:t>
      </w:r>
      <w:r w:rsidRPr="30EA6FD8" w:rsidR="000916A9">
        <w:rPr>
          <w:rFonts w:ascii="Arial" w:hAnsi="Arial" w:eastAsia="Deto Grotesk" w:cs="Arial"/>
        </w:rPr>
        <w:t>pôsobnosťou</w:t>
      </w:r>
      <w:r w:rsidRPr="30EA6FD8" w:rsidR="00DB3B60">
        <w:rPr>
          <w:rFonts w:ascii="Arial" w:hAnsi="Arial" w:eastAsia="Deto Grotesk" w:cs="Arial"/>
        </w:rPr>
        <w:t>, ktorý chráni vaše práva a oprávnené záujmy v prípade, že sa stanete oznamovateľom protispoločenskej činnosti. Inak povedané, úrad dbá na to, aby ste ako oznamovate</w:t>
      </w:r>
      <w:r w:rsidRPr="30EA6FD8" w:rsidR="430D5A6D">
        <w:rPr>
          <w:rFonts w:ascii="Arial" w:hAnsi="Arial" w:eastAsia="Deto Grotesk" w:cs="Arial"/>
        </w:rPr>
        <w:t>lia</w:t>
      </w:r>
      <w:r w:rsidRPr="30EA6FD8" w:rsidR="00DB3B60">
        <w:rPr>
          <w:rFonts w:ascii="Arial" w:hAnsi="Arial" w:eastAsia="Deto Grotesk" w:cs="Arial"/>
        </w:rPr>
        <w:t xml:space="preserve"> </w:t>
      </w:r>
      <w:r w:rsidRPr="30EA6FD8" w:rsidR="001E0959">
        <w:rPr>
          <w:rFonts w:ascii="Arial" w:hAnsi="Arial" w:eastAsia="Deto Grotesk" w:cs="Arial"/>
        </w:rPr>
        <w:t>boli chránen</w:t>
      </w:r>
      <w:r w:rsidRPr="30EA6FD8" w:rsidR="571E9355">
        <w:rPr>
          <w:rFonts w:ascii="Arial" w:hAnsi="Arial" w:eastAsia="Deto Grotesk" w:cs="Arial"/>
        </w:rPr>
        <w:t>í</w:t>
      </w:r>
      <w:r w:rsidRPr="30EA6FD8" w:rsidR="00DB3B60">
        <w:rPr>
          <w:rFonts w:ascii="Arial" w:hAnsi="Arial" w:eastAsia="Deto Grotesk" w:cs="Arial"/>
        </w:rPr>
        <w:t xml:space="preserve"> proti zamýšľaným</w:t>
      </w:r>
      <w:r w:rsidRPr="30EA6FD8" w:rsidR="001E0959">
        <w:rPr>
          <w:rFonts w:ascii="Arial" w:hAnsi="Arial" w:eastAsia="Deto Grotesk" w:cs="Arial"/>
        </w:rPr>
        <w:t xml:space="preserve">, prípadne </w:t>
      </w:r>
      <w:r w:rsidRPr="30EA6FD8" w:rsidR="00DB3B60">
        <w:rPr>
          <w:rFonts w:ascii="Arial" w:hAnsi="Arial" w:eastAsia="Deto Grotesk" w:cs="Arial"/>
        </w:rPr>
        <w:t>už vykonaným represáliám zo strany zamestnávateľa.</w:t>
      </w:r>
    </w:p>
    <w:p w:rsidR="001E0959" w:rsidP="0081707F" w:rsidRDefault="001E0959" w14:paraId="7075A846" w14:textId="58F23467">
      <w:pPr>
        <w:pStyle w:val="Odsekzoznamu"/>
        <w:spacing w:after="0" w:line="360" w:lineRule="auto"/>
        <w:jc w:val="both"/>
        <w:rPr>
          <w:rFonts w:ascii="Arial" w:hAnsi="Arial" w:eastAsia="Deto Grotesk" w:cs="Arial"/>
        </w:rPr>
      </w:pPr>
    </w:p>
    <w:p w:rsidRPr="0081707F" w:rsidR="0081707F" w:rsidP="0081707F" w:rsidRDefault="0081707F" w14:paraId="5ED1375F" w14:textId="77777777">
      <w:pPr>
        <w:pStyle w:val="Odsekzoznamu"/>
        <w:spacing w:after="0" w:line="360" w:lineRule="auto"/>
        <w:jc w:val="both"/>
        <w:rPr>
          <w:rFonts w:ascii="Arial" w:hAnsi="Arial" w:eastAsia="Deto Grotesk" w:cs="Arial"/>
        </w:rPr>
      </w:pPr>
    </w:p>
    <w:p w:rsidRPr="009808B5" w:rsidR="001E0959" w:rsidP="0081707F" w:rsidRDefault="00DB3B60" w14:paraId="5FE5A1F0" w14:textId="5DF6FDB0">
      <w:pPr>
        <w:pStyle w:val="Odsekzoznamu"/>
        <w:numPr>
          <w:ilvl w:val="0"/>
          <w:numId w:val="11"/>
        </w:numPr>
        <w:spacing w:after="0" w:line="360" w:lineRule="auto"/>
        <w:jc w:val="both"/>
        <w:rPr>
          <w:rFonts w:ascii="Arial" w:hAnsi="Arial" w:eastAsia="Deto Grotesk" w:cs="Arial"/>
          <w:b/>
          <w:bCs/>
          <w:sz w:val="24"/>
          <w:szCs w:val="24"/>
        </w:rPr>
      </w:pPr>
      <w:r w:rsidRPr="009808B5">
        <w:rPr>
          <w:rFonts w:ascii="Arial" w:hAnsi="Arial" w:eastAsia="Deto Grotesk" w:cs="Arial"/>
          <w:b/>
          <w:bCs/>
          <w:sz w:val="24"/>
          <w:szCs w:val="24"/>
        </w:rPr>
        <w:t xml:space="preserve">Čo </w:t>
      </w:r>
      <w:r w:rsidRPr="009808B5" w:rsidR="00E0573A">
        <w:rPr>
          <w:rFonts w:ascii="Arial" w:hAnsi="Arial" w:eastAsia="Deto Grotesk" w:cs="Arial"/>
          <w:b/>
          <w:bCs/>
          <w:sz w:val="24"/>
          <w:szCs w:val="24"/>
        </w:rPr>
        <w:t>a ako oznámiť</w:t>
      </w:r>
      <w:r w:rsidRPr="009808B5">
        <w:rPr>
          <w:rFonts w:ascii="Arial" w:hAnsi="Arial" w:eastAsia="Deto Grotesk" w:cs="Arial"/>
          <w:b/>
          <w:bCs/>
          <w:sz w:val="24"/>
          <w:szCs w:val="24"/>
        </w:rPr>
        <w:t>?</w:t>
      </w:r>
      <w:r w:rsidRPr="009808B5" w:rsidR="00E0573A">
        <w:rPr>
          <w:rFonts w:ascii="Arial" w:hAnsi="Arial" w:eastAsia="Deto Grotesk" w:cs="Arial"/>
          <w:b/>
          <w:bCs/>
          <w:sz w:val="24"/>
          <w:szCs w:val="24"/>
        </w:rPr>
        <w:t xml:space="preserve"> </w:t>
      </w:r>
      <w:r w:rsidRPr="009808B5">
        <w:rPr>
          <w:rFonts w:ascii="Arial" w:hAnsi="Arial" w:eastAsia="Deto Grotesk" w:cs="Arial"/>
          <w:b/>
          <w:bCs/>
          <w:sz w:val="24"/>
          <w:szCs w:val="24"/>
        </w:rPr>
        <w:t>Aká je ochrana oznamovateľa?</w:t>
      </w:r>
    </w:p>
    <w:p w:rsidR="009808B5" w:rsidP="009808B5" w:rsidRDefault="009808B5" w14:paraId="32784ED2" w14:textId="77777777">
      <w:pPr>
        <w:spacing w:line="240" w:lineRule="auto"/>
        <w:jc w:val="both"/>
        <w:rPr>
          <w:rFonts w:ascii="Deto Grotesk" w:hAnsi="Deto Grotesk" w:eastAsia="Deto Grotesk" w:cs="Deto Grotesk"/>
          <w:sz w:val="24"/>
          <w:szCs w:val="24"/>
        </w:rPr>
      </w:pPr>
    </w:p>
    <w:p w:rsidRPr="009808B5" w:rsidR="009808B5" w:rsidP="009808B5" w:rsidRDefault="009808B5" w14:paraId="5F48B427" w14:textId="3D9FB1E4">
      <w:pPr>
        <w:spacing w:line="360" w:lineRule="auto"/>
        <w:jc w:val="both"/>
        <w:rPr>
          <w:rFonts w:ascii="Arial" w:hAnsi="Arial" w:eastAsia="Deto Grotesk" w:cs="Arial"/>
        </w:rPr>
      </w:pPr>
      <w:r w:rsidRPr="009808B5">
        <w:rPr>
          <w:rFonts w:ascii="Arial" w:hAnsi="Arial" w:eastAsia="Deto Grotesk" w:cs="Arial"/>
        </w:rPr>
        <w:t xml:space="preserve">Na uvedené otázky vám odpovieme pomocou modelových prípadov. </w:t>
      </w:r>
    </w:p>
    <w:p w:rsidR="0081707F" w:rsidP="009808B5" w:rsidRDefault="0081707F" w14:paraId="3F6D235B" w14:textId="77777777">
      <w:pPr>
        <w:spacing w:after="0" w:line="240" w:lineRule="auto"/>
        <w:jc w:val="both"/>
        <w:rPr>
          <w:rFonts w:ascii="Arial" w:hAnsi="Arial" w:eastAsia="Deto Grotesk" w:cs="Arial"/>
          <w:u w:val="single"/>
        </w:rPr>
      </w:pPr>
    </w:p>
    <w:p w:rsidRPr="0081707F" w:rsidR="00DB3B60" w:rsidP="0081707F" w:rsidRDefault="00DB3B60" w14:paraId="4D37F7A5" w14:textId="0CA56054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u w:val="single"/>
        </w:rPr>
        <w:t xml:space="preserve">Modelový prípad číslo 1: </w:t>
      </w:r>
    </w:p>
    <w:p w:rsidR="0081707F" w:rsidP="0081707F" w:rsidRDefault="001D17F6" w14:paraId="2A616279" w14:textId="37FCEF08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>Zamestnanec</w:t>
      </w:r>
      <w:r w:rsidRPr="0081707F" w:rsidR="59C821B3">
        <w:rPr>
          <w:rFonts w:ascii="Arial" w:hAnsi="Arial" w:eastAsia="Deto Grotesk" w:cs="Arial"/>
          <w:i/>
          <w:iCs/>
        </w:rPr>
        <w:t xml:space="preserve"> Ján</w:t>
      </w:r>
      <w:r w:rsidRPr="0081707F">
        <w:rPr>
          <w:rFonts w:ascii="Arial" w:hAnsi="Arial" w:eastAsia="Deto Grotesk" w:cs="Arial"/>
          <w:i/>
          <w:iCs/>
        </w:rPr>
        <w:t>, ktorý pracuje</w:t>
      </w:r>
      <w:r w:rsidRPr="0081707F" w:rsidR="00DB3B60">
        <w:rPr>
          <w:rFonts w:ascii="Arial" w:hAnsi="Arial" w:eastAsia="Deto Grotesk" w:cs="Arial"/>
          <w:i/>
          <w:iCs/>
        </w:rPr>
        <w:t xml:space="preserve"> na odbore verejného obstarávania</w:t>
      </w:r>
      <w:r w:rsidRPr="0081707F" w:rsidR="6E3AED8E">
        <w:rPr>
          <w:rFonts w:ascii="Arial" w:hAnsi="Arial" w:eastAsia="Deto Grotesk" w:cs="Arial"/>
          <w:i/>
          <w:iCs/>
        </w:rPr>
        <w:t xml:space="preserve"> štátneho podniku</w:t>
      </w:r>
      <w:r w:rsidRPr="0081707F">
        <w:rPr>
          <w:rFonts w:ascii="Arial" w:hAnsi="Arial" w:eastAsia="Deto Grotesk" w:cs="Arial"/>
          <w:i/>
          <w:iCs/>
        </w:rPr>
        <w:t>,</w:t>
      </w:r>
      <w:r w:rsidRPr="0081707F" w:rsidR="00DB3B60">
        <w:rPr>
          <w:rFonts w:ascii="Arial" w:hAnsi="Arial" w:eastAsia="Deto Grotesk" w:cs="Arial"/>
          <w:i/>
          <w:iCs/>
        </w:rPr>
        <w:t xml:space="preserve"> sa domnieva, že práve prebehnuté výberové konanie na upratovacie práce bolo </w:t>
      </w:r>
      <w:r w:rsidRPr="0081707F">
        <w:rPr>
          <w:rFonts w:ascii="Arial" w:hAnsi="Arial" w:eastAsia="Deto Grotesk" w:cs="Arial"/>
          <w:i/>
          <w:iCs/>
        </w:rPr>
        <w:t xml:space="preserve">zmanipulované </w:t>
      </w:r>
      <w:r w:rsidRPr="0081707F" w:rsidR="00DB3B60">
        <w:rPr>
          <w:rFonts w:ascii="Arial" w:hAnsi="Arial" w:eastAsia="Deto Grotesk" w:cs="Arial"/>
          <w:i/>
          <w:iCs/>
        </w:rPr>
        <w:t>a zmluvne dohodnutá zákazka predražená</w:t>
      </w:r>
      <w:r w:rsidRPr="0081707F">
        <w:rPr>
          <w:rFonts w:ascii="Arial" w:hAnsi="Arial" w:eastAsia="Deto Grotesk" w:cs="Arial"/>
          <w:i/>
          <w:iCs/>
        </w:rPr>
        <w:t>.</w:t>
      </w:r>
      <w:r w:rsidRPr="0081707F" w:rsidR="292F71F9">
        <w:rPr>
          <w:rFonts w:ascii="Arial" w:hAnsi="Arial" w:eastAsia="Deto Grotesk" w:cs="Arial"/>
          <w:i/>
          <w:iCs/>
        </w:rPr>
        <w:t xml:space="preserve"> </w:t>
      </w:r>
      <w:r w:rsidRPr="0081707F" w:rsidR="2F96085D">
        <w:rPr>
          <w:rFonts w:ascii="Arial" w:hAnsi="Arial" w:eastAsia="Deto Grotesk" w:cs="Arial"/>
          <w:i/>
          <w:iCs/>
        </w:rPr>
        <w:t>Zo súťaže bol totiž vylúčen</w:t>
      </w:r>
      <w:r w:rsidRPr="0081707F" w:rsidR="347D0393">
        <w:rPr>
          <w:rFonts w:ascii="Arial" w:hAnsi="Arial" w:eastAsia="Deto Grotesk" w:cs="Arial"/>
          <w:i/>
          <w:iCs/>
        </w:rPr>
        <w:t>ý</w:t>
      </w:r>
      <w:r w:rsidRPr="0081707F" w:rsidR="2F96085D">
        <w:rPr>
          <w:rFonts w:ascii="Arial" w:hAnsi="Arial" w:eastAsia="Deto Grotesk" w:cs="Arial"/>
          <w:i/>
          <w:iCs/>
        </w:rPr>
        <w:t xml:space="preserve"> uchádzač </w:t>
      </w:r>
      <w:r w:rsidRPr="0081707F" w:rsidR="32C23702">
        <w:rPr>
          <w:rFonts w:ascii="Arial" w:hAnsi="Arial" w:eastAsia="Deto Grotesk" w:cs="Arial"/>
          <w:i/>
          <w:iCs/>
        </w:rPr>
        <w:t>s lepš</w:t>
      </w:r>
      <w:r w:rsidRPr="0081707F" w:rsidR="012934A7">
        <w:rPr>
          <w:rFonts w:ascii="Arial" w:hAnsi="Arial" w:eastAsia="Deto Grotesk" w:cs="Arial"/>
          <w:i/>
          <w:iCs/>
        </w:rPr>
        <w:t>ou</w:t>
      </w:r>
      <w:r w:rsidRPr="0081707F" w:rsidR="32C23702">
        <w:rPr>
          <w:rFonts w:ascii="Arial" w:hAnsi="Arial" w:eastAsia="Deto Grotesk" w:cs="Arial"/>
          <w:i/>
          <w:iCs/>
        </w:rPr>
        <w:t xml:space="preserve"> cenov</w:t>
      </w:r>
      <w:r w:rsidRPr="0081707F" w:rsidR="4687B0CF">
        <w:rPr>
          <w:rFonts w:ascii="Arial" w:hAnsi="Arial" w:eastAsia="Deto Grotesk" w:cs="Arial"/>
          <w:i/>
          <w:iCs/>
        </w:rPr>
        <w:t>ou</w:t>
      </w:r>
      <w:r w:rsidRPr="0081707F" w:rsidR="32C23702">
        <w:rPr>
          <w:rFonts w:ascii="Arial" w:hAnsi="Arial" w:eastAsia="Deto Grotesk" w:cs="Arial"/>
          <w:i/>
          <w:iCs/>
        </w:rPr>
        <w:t xml:space="preserve"> ponuk</w:t>
      </w:r>
      <w:r w:rsidRPr="0081707F" w:rsidR="5A9F5E43">
        <w:rPr>
          <w:rFonts w:ascii="Arial" w:hAnsi="Arial" w:eastAsia="Deto Grotesk" w:cs="Arial"/>
          <w:i/>
          <w:iCs/>
        </w:rPr>
        <w:t>ou</w:t>
      </w:r>
      <w:r w:rsidRPr="0081707F" w:rsidR="32C23702">
        <w:rPr>
          <w:rFonts w:ascii="Arial" w:hAnsi="Arial" w:eastAsia="Deto Grotesk" w:cs="Arial"/>
          <w:i/>
          <w:iCs/>
        </w:rPr>
        <w:t xml:space="preserve"> </w:t>
      </w:r>
      <w:r w:rsidRPr="0081707F" w:rsidR="2F96085D">
        <w:rPr>
          <w:rFonts w:ascii="Arial" w:hAnsi="Arial" w:eastAsia="Deto Grotesk" w:cs="Arial"/>
          <w:i/>
          <w:iCs/>
        </w:rPr>
        <w:t>na základe banáln</w:t>
      </w:r>
      <w:r w:rsidRPr="0081707F" w:rsidR="13CF762C">
        <w:rPr>
          <w:rFonts w:ascii="Arial" w:hAnsi="Arial" w:eastAsia="Deto Grotesk" w:cs="Arial"/>
          <w:i/>
          <w:iCs/>
        </w:rPr>
        <w:t>eho dôvodu</w:t>
      </w:r>
      <w:r w:rsidRPr="0081707F" w:rsidR="43AC159E">
        <w:rPr>
          <w:rFonts w:ascii="Arial" w:hAnsi="Arial" w:eastAsia="Deto Grotesk" w:cs="Arial"/>
          <w:i/>
          <w:iCs/>
        </w:rPr>
        <w:t>, ktorý nemohol ovplyvniť výsledok súťaže</w:t>
      </w:r>
      <w:r w:rsidRPr="0081707F" w:rsidR="00D269DA">
        <w:rPr>
          <w:rFonts w:ascii="Arial" w:hAnsi="Arial" w:eastAsia="Deto Grotesk" w:cs="Arial"/>
          <w:i/>
          <w:iCs/>
        </w:rPr>
        <w:t>. V</w:t>
      </w:r>
      <w:r w:rsidRPr="0081707F" w:rsidR="2F96085D">
        <w:rPr>
          <w:rFonts w:ascii="Arial" w:hAnsi="Arial" w:eastAsia="Deto Grotesk" w:cs="Arial"/>
          <w:i/>
          <w:iCs/>
        </w:rPr>
        <w:t xml:space="preserve">ďaka </w:t>
      </w:r>
      <w:r w:rsidRPr="0081707F" w:rsidR="32EB9CC2">
        <w:rPr>
          <w:rFonts w:ascii="Arial" w:hAnsi="Arial" w:eastAsia="Deto Grotesk" w:cs="Arial"/>
          <w:i/>
          <w:iCs/>
        </w:rPr>
        <w:t>t</w:t>
      </w:r>
      <w:r w:rsidRPr="0081707F" w:rsidR="2F96085D">
        <w:rPr>
          <w:rFonts w:ascii="Arial" w:hAnsi="Arial" w:eastAsia="Deto Grotesk" w:cs="Arial"/>
          <w:i/>
          <w:iCs/>
        </w:rPr>
        <w:t xml:space="preserve">omu vyhrala </w:t>
      </w:r>
      <w:r w:rsidRPr="0081707F" w:rsidR="21314E45">
        <w:rPr>
          <w:rStyle w:val="eop"/>
          <w:rFonts w:ascii="Arial" w:hAnsi="Arial" w:eastAsia="Deto Grotesk" w:cs="Arial"/>
          <w:i/>
          <w:iCs/>
          <w:color w:val="000000" w:themeColor="text1"/>
        </w:rPr>
        <w:t>konkrétna firma</w:t>
      </w:r>
      <w:r w:rsidRPr="0081707F" w:rsidR="741D51D0">
        <w:rPr>
          <w:rStyle w:val="eop"/>
          <w:rFonts w:ascii="Arial" w:hAnsi="Arial" w:eastAsia="Deto Grotesk" w:cs="Arial"/>
          <w:i/>
          <w:iCs/>
          <w:color w:val="000000" w:themeColor="text1"/>
        </w:rPr>
        <w:t xml:space="preserve">, </w:t>
      </w:r>
      <w:r w:rsidRPr="0081707F" w:rsidR="741D51D0">
        <w:rPr>
          <w:rFonts w:ascii="Arial" w:hAnsi="Arial" w:eastAsia="Deto Grotesk" w:cs="Arial"/>
          <w:i/>
          <w:iCs/>
        </w:rPr>
        <w:t>ktorá mala s podnikom</w:t>
      </w:r>
      <w:r w:rsidRPr="0081707F" w:rsidR="32E56432">
        <w:rPr>
          <w:rFonts w:ascii="Arial" w:hAnsi="Arial" w:eastAsia="Deto Grotesk" w:cs="Arial"/>
          <w:i/>
          <w:iCs/>
        </w:rPr>
        <w:t xml:space="preserve"> uzavretú zmluvu aj v minulosti</w:t>
      </w:r>
      <w:r w:rsidRPr="0081707F" w:rsidR="1B6F13EE">
        <w:rPr>
          <w:rStyle w:val="eop"/>
          <w:rFonts w:ascii="Arial" w:hAnsi="Arial" w:eastAsia="Deto Grotesk" w:cs="Arial"/>
          <w:i/>
          <w:iCs/>
          <w:color w:val="000000" w:themeColor="text1"/>
        </w:rPr>
        <w:t>.</w:t>
      </w:r>
      <w:r w:rsidRPr="0081707F" w:rsidR="6A8A8CC7">
        <w:rPr>
          <w:rFonts w:ascii="Arial" w:hAnsi="Arial" w:eastAsia="Deto Grotesk" w:cs="Arial"/>
          <w:i/>
          <w:iCs/>
        </w:rPr>
        <w:t xml:space="preserve"> </w:t>
      </w:r>
      <w:r w:rsidRPr="0081707F" w:rsidR="57FDB684">
        <w:rPr>
          <w:rFonts w:ascii="Arial" w:hAnsi="Arial" w:eastAsia="Deto Grotesk" w:cs="Arial"/>
          <w:i/>
          <w:iCs/>
        </w:rPr>
        <w:t>P</w:t>
      </w:r>
      <w:r w:rsidRPr="0081707F">
        <w:rPr>
          <w:rFonts w:ascii="Arial" w:hAnsi="Arial" w:eastAsia="Deto Grotesk" w:cs="Arial"/>
          <w:i/>
          <w:iCs/>
        </w:rPr>
        <w:t xml:space="preserve">odľa </w:t>
      </w:r>
      <w:r w:rsidRPr="0081707F" w:rsidR="0C6CB8A2">
        <w:rPr>
          <w:rFonts w:ascii="Arial" w:hAnsi="Arial" w:eastAsia="Deto Grotesk" w:cs="Arial"/>
          <w:i/>
          <w:iCs/>
        </w:rPr>
        <w:t>Jána</w:t>
      </w:r>
      <w:r w:rsidRPr="0081707F">
        <w:rPr>
          <w:rFonts w:ascii="Arial" w:hAnsi="Arial" w:eastAsia="Deto Grotesk" w:cs="Arial"/>
          <w:i/>
          <w:iCs/>
        </w:rPr>
        <w:t xml:space="preserve"> </w:t>
      </w:r>
      <w:r w:rsidRPr="0081707F" w:rsidR="00DB3B60">
        <w:rPr>
          <w:rFonts w:ascii="Arial" w:hAnsi="Arial" w:eastAsia="Deto Grotesk" w:cs="Arial"/>
          <w:i/>
          <w:iCs/>
        </w:rPr>
        <w:t xml:space="preserve">za tým stojí priamo vedúci </w:t>
      </w:r>
      <w:r w:rsidRPr="0081707F">
        <w:rPr>
          <w:rFonts w:ascii="Arial" w:hAnsi="Arial" w:eastAsia="Deto Grotesk" w:cs="Arial"/>
          <w:i/>
          <w:iCs/>
        </w:rPr>
        <w:t>jeho</w:t>
      </w:r>
      <w:r w:rsidRPr="0081707F" w:rsidR="00DB3B60">
        <w:rPr>
          <w:rFonts w:ascii="Arial" w:hAnsi="Arial" w:eastAsia="Deto Grotesk" w:cs="Arial"/>
          <w:i/>
          <w:iCs/>
        </w:rPr>
        <w:t xml:space="preserve"> odboru</w:t>
      </w:r>
      <w:r w:rsidRPr="0081707F" w:rsidR="4A52F868">
        <w:rPr>
          <w:rFonts w:ascii="Arial" w:hAnsi="Arial" w:eastAsia="Deto Grotesk" w:cs="Arial"/>
          <w:i/>
          <w:iCs/>
        </w:rPr>
        <w:t>, pretože si na spoločných rokovaniach s upratovacou firmou všimol, že má mimoriadne priateľ</w:t>
      </w:r>
      <w:r w:rsidRPr="0081707F" w:rsidR="71D5E4DD">
        <w:rPr>
          <w:rFonts w:ascii="Arial" w:hAnsi="Arial" w:eastAsia="Deto Grotesk" w:cs="Arial"/>
          <w:i/>
          <w:iCs/>
        </w:rPr>
        <w:t xml:space="preserve">ský vzťah s majiteľom </w:t>
      </w:r>
      <w:r w:rsidRPr="0081707F" w:rsidR="005074D5">
        <w:rPr>
          <w:rFonts w:ascii="Arial" w:hAnsi="Arial" w:eastAsia="Deto Grotesk" w:cs="Arial"/>
          <w:i/>
          <w:iCs/>
        </w:rPr>
        <w:t xml:space="preserve">tejto </w:t>
      </w:r>
      <w:r w:rsidRPr="0081707F" w:rsidR="71D5E4DD">
        <w:rPr>
          <w:rFonts w:ascii="Arial" w:hAnsi="Arial" w:eastAsia="Deto Grotesk" w:cs="Arial"/>
          <w:i/>
          <w:iCs/>
        </w:rPr>
        <w:t>firmy</w:t>
      </w:r>
      <w:r w:rsidRPr="0081707F" w:rsidR="00DB3B60">
        <w:rPr>
          <w:rFonts w:ascii="Arial" w:hAnsi="Arial" w:eastAsia="Deto Grotesk" w:cs="Arial"/>
          <w:i/>
          <w:iCs/>
        </w:rPr>
        <w:t xml:space="preserve">. Napriek tomu sa rozhodne  oznámiť to. </w:t>
      </w:r>
    </w:p>
    <w:p w:rsidRPr="0081707F" w:rsidR="0081707F" w:rsidP="0081707F" w:rsidRDefault="0081707F" w14:paraId="79A0C2B7" w14:textId="77777777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1E0959" w:rsidP="0081707F" w:rsidRDefault="00DB3B60" w14:paraId="514A085E" w14:textId="77777777">
      <w:pPr>
        <w:pStyle w:val="Odsekzoznamu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0" w:right="85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 xml:space="preserve">Vytvorí oznámenie, ktoré je čitateľné, zrozumiteľné a formulované tak, aby bolo zrejmé, o akú protispoločenskú činnosť ide. </w:t>
      </w:r>
    </w:p>
    <w:p w:rsidRPr="0081707F" w:rsidR="001E0959" w:rsidP="0081707F" w:rsidRDefault="001E0959" w14:paraId="19D1A1FF" w14:textId="43765263">
      <w:pPr>
        <w:pStyle w:val="Odsekzoznamu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/>
        <w:jc w:val="both"/>
        <w:rPr>
          <w:rFonts w:ascii="Arial" w:hAnsi="Arial" w:eastAsia="Deto Grotesk" w:cs="Arial"/>
        </w:rPr>
      </w:pPr>
      <w:r w:rsidRPr="0081707F">
        <w:rPr>
          <w:rFonts w:ascii="Arial" w:hAnsi="Arial" w:eastAsia="Deto Grotesk" w:cs="Arial"/>
        </w:rPr>
        <w:t>Obsahuje:</w:t>
      </w:r>
    </w:p>
    <w:p w:rsidRPr="0081707F" w:rsidR="00DB3B60" w:rsidP="0081707F" w:rsidRDefault="00DB3B60" w14:paraId="56E32A5F" w14:textId="3DF5CD4C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Detailný popis skutku (čo sa stalo, kde, kedy, kto a čo oznamovateľa viedlo k podozreniu)  </w:t>
      </w:r>
    </w:p>
    <w:p w:rsidRPr="0081707F" w:rsidR="00DB3B60" w:rsidP="0081707F" w:rsidRDefault="00DB3B60" w14:paraId="4056668E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Existujú nejakí svedkovia? Ak áno, kto?</w:t>
      </w:r>
    </w:p>
    <w:p w:rsidRPr="0081707F" w:rsidR="00DB3B60" w:rsidP="0081707F" w:rsidRDefault="00DB3B60" w14:paraId="4DA91EA4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Má oznamovateľ k dispozícii podklady a dôkazy?</w:t>
      </w:r>
    </w:p>
    <w:p w:rsidRPr="0081707F" w:rsidR="00DB3B60" w:rsidP="0081707F" w:rsidRDefault="00DB3B60" w14:paraId="6C09573C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Hovoril oznamovateľ o tejto skutočnosti s niekým? Ak áno, s  kým?</w:t>
      </w:r>
    </w:p>
    <w:p w:rsidRPr="0081707F" w:rsidR="00B6291C" w:rsidP="0081707F" w:rsidRDefault="00DB3B60" w14:paraId="69317F82" w14:textId="5246776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Totožnosť a kontaktné údaje oznamovateľa. Ak sa rozhodne ostať v anonymite, tak kontaktné údaje (napr. novovytvorený mail, ktorý používa iba na podanie oznámenia)</w:t>
      </w:r>
    </w:p>
    <w:p w:rsidR="0081707F" w:rsidP="0081707F" w:rsidRDefault="0081707F" w14:paraId="684DB9EC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="00B6291C" w:rsidP="0081707F" w:rsidRDefault="00DB3B60" w14:paraId="28B25754" w14:textId="741B2A3C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>Podá oznámenie zodpovednej osobe, ktorá zvolá  zasadnutie</w:t>
      </w:r>
      <w:r w:rsidRPr="0081707F" w:rsidR="001D17F6">
        <w:rPr>
          <w:rFonts w:ascii="Arial" w:hAnsi="Arial" w:eastAsia="Deto Grotesk" w:cs="Arial"/>
          <w:i/>
          <w:iCs/>
        </w:rPr>
        <w:t xml:space="preserve"> tzv. protikorupčnej jednotky</w:t>
      </w:r>
      <w:r w:rsidRPr="0081707F" w:rsidR="00BE7445">
        <w:rPr>
          <w:rFonts w:ascii="Arial" w:hAnsi="Arial" w:eastAsia="Deto Grotesk" w:cs="Arial"/>
          <w:i/>
          <w:iCs/>
        </w:rPr>
        <w:t xml:space="preserve">, ktorá je určená </w:t>
      </w:r>
      <w:r w:rsidRPr="0081707F">
        <w:rPr>
          <w:rFonts w:ascii="Arial" w:hAnsi="Arial" w:eastAsia="Deto Grotesk" w:cs="Arial"/>
          <w:i/>
          <w:iCs/>
        </w:rPr>
        <w:t>na preverova</w:t>
      </w:r>
      <w:r w:rsidRPr="0081707F" w:rsidR="001D17F6">
        <w:rPr>
          <w:rFonts w:ascii="Arial" w:hAnsi="Arial" w:eastAsia="Deto Grotesk" w:cs="Arial"/>
          <w:i/>
          <w:iCs/>
        </w:rPr>
        <w:t>nie</w:t>
      </w:r>
      <w:r w:rsidRPr="0081707F">
        <w:rPr>
          <w:rFonts w:ascii="Arial" w:hAnsi="Arial" w:eastAsia="Deto Grotesk" w:cs="Arial"/>
          <w:i/>
          <w:iCs/>
        </w:rPr>
        <w:t xml:space="preserve"> oznámení. Jej členovia sa oboznámia s podnetom a vylúčia, že by bol niektorý z nich v konflikte záujmov. Následne začnú prípad preverovať. Od vedúceho odboru verejného obstarávania si vyžiadajú dokumentáciu k tendru, pričom  si vytvoria legendu, že robia štandardný audit pri náhodne vybratých zákazkách, aby nenadobudol vedúci pracovník podozrenie a oznamovateľ tak bol chránený. </w:t>
      </w:r>
    </w:p>
    <w:p w:rsidRPr="0081707F" w:rsidR="0081707F" w:rsidP="0081707F" w:rsidRDefault="0081707F" w14:paraId="51303A74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DB3B60" w:rsidP="0081707F" w:rsidRDefault="00DB3B60" w14:paraId="28EF4EE7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Po prijatí oznámenia dostane oznamovateľ do 7 dní potvrdenie o jeho prijatí. </w:t>
      </w:r>
    </w:p>
    <w:p w:rsidRPr="0081707F" w:rsidR="00DB3B60" w:rsidP="30EA6FD8" w:rsidRDefault="00DB3B60" w14:paraId="7FB2C7C2" w14:textId="402887D3">
      <w:pPr>
        <w:pStyle w:val="Odsekzoznamu"/>
        <w:numPr>
          <w:ilvl w:val="0"/>
          <w:numId w:val="4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Oznámenie musí byť prešetrené do 90 dní od </w:t>
      </w:r>
      <w:r w:rsidRPr="30EA6FD8" w:rsidR="3BCC255F">
        <w:rPr>
          <w:rFonts w:ascii="Arial" w:hAnsi="Arial" w:eastAsia="Deto Grotesk" w:cs="Arial"/>
        </w:rPr>
        <w:t>notifikácie o prijatí oznámenia</w:t>
      </w:r>
      <w:r w:rsidRPr="30EA6FD8" w:rsidR="00DB3B60">
        <w:rPr>
          <w:rFonts w:ascii="Arial" w:hAnsi="Arial" w:eastAsia="Deto Grotesk" w:cs="Arial"/>
        </w:rPr>
        <w:t>.</w:t>
      </w:r>
    </w:p>
    <w:p w:rsidR="0081707F" w:rsidP="0081707F" w:rsidRDefault="0081707F" w14:paraId="639669BB" w14:textId="77777777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</w:p>
    <w:p w:rsidR="00DB3B60" w:rsidP="0081707F" w:rsidRDefault="00DB3B60" w14:paraId="08A66780" w14:textId="1C631C27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 xml:space="preserve">Preverovaním podkladov k súťaži zistili, že podmienky účasti boli tak úzko šité, že sa prihlásili len dve firmy. Porovnaním cien služieb zase odhalili, že upratovacej firme </w:t>
      </w:r>
      <w:r w:rsidRPr="0081707F" w:rsidR="00154077">
        <w:rPr>
          <w:rFonts w:ascii="Arial" w:hAnsi="Arial" w:eastAsia="Deto Grotesk" w:cs="Arial"/>
          <w:i/>
          <w:iCs/>
        </w:rPr>
        <w:t xml:space="preserve">by mali platiť </w:t>
      </w:r>
      <w:r w:rsidRPr="0081707F">
        <w:rPr>
          <w:rFonts w:ascii="Arial" w:hAnsi="Arial" w:eastAsia="Deto Grotesk" w:cs="Arial"/>
          <w:i/>
          <w:iCs/>
        </w:rPr>
        <w:t xml:space="preserve">dvakrát viac ako sú trhové ceny. Požiadajú o stanovisko vedúceho odboru pre verejné obstarávanie, ktorý trvá na tom, že v čase vyhlásenia súťaže išlo o štandardné ceny a súťažné podmienky boli podľa neho v poriadku. </w:t>
      </w:r>
      <w:r w:rsidRPr="0081707F" w:rsidR="00BE7445">
        <w:rPr>
          <w:rFonts w:ascii="Arial" w:hAnsi="Arial" w:eastAsia="Deto Grotesk" w:cs="Arial"/>
          <w:i/>
          <w:iCs/>
        </w:rPr>
        <w:t>Protikorupčná jedn</w:t>
      </w:r>
      <w:r w:rsidRPr="0081707F" w:rsidR="00281309">
        <w:rPr>
          <w:rFonts w:ascii="Arial" w:hAnsi="Arial" w:eastAsia="Deto Grotesk" w:cs="Arial"/>
          <w:i/>
          <w:iCs/>
        </w:rPr>
        <w:t>otka</w:t>
      </w:r>
      <w:r w:rsidRPr="0081707F">
        <w:rPr>
          <w:rFonts w:ascii="Arial" w:hAnsi="Arial" w:eastAsia="Deto Grotesk" w:cs="Arial"/>
          <w:i/>
          <w:iCs/>
        </w:rPr>
        <w:t xml:space="preserve"> však popri tom skúmala prípadné motivácie vedúceho zamestnanca aj rozhovorom s jeho spolupracovníkmi a zistila, že vo firme, ktorá získala predraženú zákazku, pracuje na manažérskej pozícii jeho sestra.</w:t>
      </w:r>
    </w:p>
    <w:p w:rsidRPr="0081707F" w:rsidR="0081707F" w:rsidP="0081707F" w:rsidRDefault="0081707F" w14:paraId="213BC941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DB3B60" w:rsidP="0081707F" w:rsidRDefault="00DB3B60" w14:paraId="72DD3D17" w14:textId="04F5B94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Oznámenie sa potvrdilo, a preto je potrebné </w:t>
      </w:r>
      <w:r w:rsidRPr="30EA6FD8" w:rsidR="001D17F6">
        <w:rPr>
          <w:rFonts w:ascii="Arial" w:hAnsi="Arial" w:eastAsia="Deto Grotesk" w:cs="Arial"/>
        </w:rPr>
        <w:t xml:space="preserve">v organizácii </w:t>
      </w:r>
      <w:r w:rsidRPr="30EA6FD8" w:rsidR="00DB3B60">
        <w:rPr>
          <w:rFonts w:ascii="Arial" w:hAnsi="Arial" w:eastAsia="Deto Grotesk" w:cs="Arial"/>
        </w:rPr>
        <w:t xml:space="preserve">čo najskôr navrhnúť a prijať také opatrenia, ktoré podobnému konaniu do budúcna zamedzia. </w:t>
      </w:r>
    </w:p>
    <w:p w:rsidR="0081707F" w:rsidP="0081707F" w:rsidRDefault="0081707F" w14:paraId="7C0AC2BA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DB3B60" w:rsidP="0081707F" w:rsidRDefault="00DB3B60" w14:paraId="2C7D7FE9" w14:textId="3F9CD9FB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lastRenderedPageBreak/>
        <w:t xml:space="preserve">Zápisnicou z preverovania o tom </w:t>
      </w:r>
      <w:r w:rsidRPr="0081707F" w:rsidR="00281309">
        <w:rPr>
          <w:rFonts w:ascii="Arial" w:hAnsi="Arial" w:eastAsia="Deto Grotesk" w:cs="Arial"/>
          <w:i/>
          <w:iCs/>
        </w:rPr>
        <w:t>protikorupčná jednotka</w:t>
      </w:r>
      <w:r w:rsidRPr="0081707F">
        <w:rPr>
          <w:rFonts w:ascii="Arial" w:hAnsi="Arial" w:eastAsia="Deto Grotesk" w:cs="Arial"/>
          <w:i/>
          <w:iCs/>
        </w:rPr>
        <w:t xml:space="preserve"> upovedomí štatutára, pričom mu navrhne aj nápravné opatrenia. Oznamovateľ je informovaný o záveroch preverenia jeho oznámenia.    </w:t>
      </w:r>
    </w:p>
    <w:p w:rsidRPr="0081707F" w:rsidR="00DB3B60" w:rsidP="0081707F" w:rsidRDefault="00DB3B60" w14:paraId="65A0DE7D" w14:textId="10A86916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</w:tabs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Ak však má </w:t>
      </w:r>
      <w:r w:rsidRPr="30EA6FD8" w:rsidR="00281309">
        <w:rPr>
          <w:rFonts w:ascii="Arial" w:hAnsi="Arial" w:eastAsia="Deto Grotesk" w:cs="Arial"/>
        </w:rPr>
        <w:t>protikorupčná jednotka</w:t>
      </w:r>
      <w:r w:rsidRPr="30EA6FD8" w:rsidR="00DB3B60">
        <w:rPr>
          <w:rFonts w:ascii="Arial" w:hAnsi="Arial" w:eastAsia="Deto Grotesk" w:cs="Arial"/>
        </w:rPr>
        <w:t xml:space="preserve"> podozrenie, že ide o trestný čin, zodpovedná osoba sa obráti na orgány činné v trestnom konaní. </w:t>
      </w:r>
    </w:p>
    <w:p w:rsidRPr="0081707F" w:rsidR="00DB3B60" w:rsidP="0081707F" w:rsidRDefault="00DB3B60" w14:paraId="6784613C" w14:textId="47D57892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84"/>
        </w:tabs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Ako následok takéhoto protispoločenské správania môže byť aj ukončenie pracovného pomeru</w:t>
      </w:r>
      <w:r w:rsidRPr="30EA6FD8" w:rsidR="00E21EFC">
        <w:rPr>
          <w:rFonts w:ascii="Arial" w:hAnsi="Arial" w:eastAsia="Deto Grotesk" w:cs="Arial"/>
        </w:rPr>
        <w:t xml:space="preserve"> so zamestnancom, ktorý pochybil</w:t>
      </w:r>
      <w:r w:rsidRPr="30EA6FD8" w:rsidR="00DB3B60">
        <w:rPr>
          <w:rFonts w:ascii="Arial" w:hAnsi="Arial" w:eastAsia="Deto Grotesk" w:cs="Arial"/>
        </w:rPr>
        <w:t>.</w:t>
      </w:r>
    </w:p>
    <w:p w:rsidRPr="0081707F" w:rsidR="6423C1BE" w:rsidP="30EA6FD8" w:rsidRDefault="00DB3B60" w14:paraId="74B1B442" w14:textId="5E17D942">
      <w:pPr>
        <w:pStyle w:val="Odsekzoznamu"/>
        <w:numPr>
          <w:ilvl w:val="0"/>
          <w:numId w:val="4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tabs>
          <w:tab w:val="left" w:pos="284"/>
        </w:tabs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Oznamovateľ je o výsledkoch preverovania informovaný</w:t>
      </w:r>
      <w:r w:rsidRPr="30EA6FD8" w:rsidR="4E7BB669">
        <w:rPr>
          <w:rFonts w:ascii="Arial" w:hAnsi="Arial" w:eastAsia="Deto Grotesk" w:cs="Arial"/>
        </w:rPr>
        <w:t xml:space="preserve"> v rámci 90 dňovej lehoty určenej na preverenie oznámenia</w:t>
      </w:r>
      <w:r w:rsidRPr="30EA6FD8" w:rsidR="00DB3B60">
        <w:rPr>
          <w:rFonts w:ascii="Arial" w:hAnsi="Arial" w:eastAsia="Deto Grotesk" w:cs="Arial"/>
        </w:rPr>
        <w:t xml:space="preserve">. </w:t>
      </w:r>
    </w:p>
    <w:p w:rsidRPr="0081707F" w:rsidR="001E0959" w:rsidP="0081707F" w:rsidRDefault="001E0959" w14:paraId="7C1A6919" w14:textId="77777777">
      <w:pPr>
        <w:tabs>
          <w:tab w:val="left" w:pos="284"/>
        </w:tabs>
        <w:spacing w:after="0" w:line="360" w:lineRule="auto"/>
        <w:jc w:val="both"/>
        <w:rPr>
          <w:rFonts w:ascii="Arial" w:hAnsi="Arial" w:eastAsia="Deto Grotesk" w:cs="Arial"/>
        </w:rPr>
      </w:pPr>
    </w:p>
    <w:p w:rsidR="0081707F" w:rsidP="0081707F" w:rsidRDefault="0081707F" w14:paraId="3EE9D58C" w14:textId="77777777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</w:p>
    <w:p w:rsidRPr="0081707F" w:rsidR="571F937C" w:rsidP="0081707F" w:rsidRDefault="571F937C" w14:paraId="61C270F1" w14:textId="298A6FA5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  <w:r w:rsidRPr="0081707F">
        <w:rPr>
          <w:rFonts w:ascii="Arial" w:hAnsi="Arial" w:eastAsia="Deto Grotesk" w:cs="Arial"/>
          <w:u w:val="single"/>
        </w:rPr>
        <w:t xml:space="preserve">Modelový prípad číslo </w:t>
      </w:r>
      <w:r w:rsidRPr="0081707F" w:rsidR="2075C333">
        <w:rPr>
          <w:rFonts w:ascii="Arial" w:hAnsi="Arial" w:eastAsia="Deto Grotesk" w:cs="Arial"/>
          <w:u w:val="single"/>
        </w:rPr>
        <w:t>2</w:t>
      </w:r>
      <w:r w:rsidRPr="0081707F">
        <w:rPr>
          <w:rFonts w:ascii="Arial" w:hAnsi="Arial" w:eastAsia="Deto Grotesk" w:cs="Arial"/>
          <w:u w:val="single"/>
        </w:rPr>
        <w:t xml:space="preserve">: </w:t>
      </w:r>
    </w:p>
    <w:p w:rsidR="0081707F" w:rsidP="0081707F" w:rsidRDefault="571F937C" w14:paraId="6ED1450D" w14:textId="77777777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 xml:space="preserve">Oznamovateľ z nášho modelového prípadu číslo 1 nevie o tom, že môže požiadať o tzv. status chráneného oznamovateľa. Vedúci odboru, pod ktorý spadá, sa ho rozhodne prepustiť (preradiť ho na menej platené miesto, prípadne mu zobrať benefity a pod.), a tým sa mu „pomstiť“ za podanie oznámenia o pochybnom tendri. Oznamovateľ nestráca hlavu a obráti sa na Úrad na  ochranu oznamovateľov. </w:t>
      </w:r>
    </w:p>
    <w:p w:rsidRPr="0081707F" w:rsidR="571F937C" w:rsidP="0081707F" w:rsidRDefault="571F937C" w14:paraId="79C31FEB" w14:textId="2BB23613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 xml:space="preserve"> </w:t>
      </w:r>
    </w:p>
    <w:p w:rsidRPr="0081707F" w:rsidR="571F937C" w:rsidP="0081707F" w:rsidRDefault="571F937C" w14:paraId="73EBDBAE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571F937C">
        <w:rPr>
          <w:rFonts w:ascii="Arial" w:hAnsi="Arial" w:eastAsia="Deto Grotesk" w:cs="Arial"/>
        </w:rPr>
        <w:t>Oznamovateľ do 15 dní od doručenia výpovede (oznámenia úkonu) požiada Úrad na ochranu oznamovateľov o jej pozastavenie.</w:t>
      </w:r>
    </w:p>
    <w:p w:rsidRPr="0081707F" w:rsidR="571F937C" w:rsidP="0081707F" w:rsidRDefault="571F937C" w14:paraId="49FD592F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571F937C">
        <w:rPr>
          <w:rFonts w:ascii="Arial" w:hAnsi="Arial" w:eastAsia="Deto Grotesk" w:cs="Arial"/>
        </w:rPr>
        <w:t>Úrad bezodkladne preskúma jeho žiadosť, požiada aj o stanovisko zamestnávateľa a preverí celkové okolnosti prípadu oznamovateľa.</w:t>
      </w:r>
    </w:p>
    <w:p w:rsidRPr="0081707F" w:rsidR="571F937C" w:rsidP="30EA6FD8" w:rsidRDefault="571F937C" w14:paraId="2843636F" w14:textId="1BCA1418">
      <w:pPr>
        <w:pStyle w:val="Odsekzoznamu"/>
        <w:numPr>
          <w:ilvl w:val="0"/>
          <w:numId w:val="4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571F937C">
        <w:rPr>
          <w:rFonts w:ascii="Arial" w:hAnsi="Arial" w:eastAsia="Deto Grotesk" w:cs="Arial"/>
        </w:rPr>
        <w:t xml:space="preserve">Úrad žiadosti </w:t>
      </w:r>
      <w:r w:rsidRPr="30EA6FD8" w:rsidR="3EF85404">
        <w:rPr>
          <w:rFonts w:ascii="Arial" w:hAnsi="Arial" w:eastAsia="Deto Grotesk" w:cs="Arial"/>
        </w:rPr>
        <w:t>oznamovateľa ne</w:t>
      </w:r>
      <w:r w:rsidRPr="30EA6FD8" w:rsidR="571F937C">
        <w:rPr>
          <w:rFonts w:ascii="Arial" w:hAnsi="Arial" w:eastAsia="Deto Grotesk" w:cs="Arial"/>
        </w:rPr>
        <w:t xml:space="preserve">vyhovie, ak zamestnávateľ preukáže, že </w:t>
      </w:r>
      <w:r w:rsidRPr="30EA6FD8" w:rsidR="1C96C1E2">
        <w:rPr>
          <w:rFonts w:ascii="Arial" w:hAnsi="Arial" w:eastAsia="Deto Grotesk" w:cs="Arial"/>
        </w:rPr>
        <w:t xml:space="preserve">výpoveď / daný negatívny úkon </w:t>
      </w:r>
      <w:r w:rsidRPr="30EA6FD8" w:rsidR="571F937C">
        <w:rPr>
          <w:rFonts w:ascii="Arial" w:hAnsi="Arial" w:eastAsia="Deto Grotesk" w:cs="Arial"/>
        </w:rPr>
        <w:t xml:space="preserve">nemá žiadnu príčinnú súvislosť s oznámením. </w:t>
      </w:r>
    </w:p>
    <w:p w:rsidRPr="0081707F" w:rsidR="571F937C" w:rsidP="30EA6FD8" w:rsidRDefault="571F937C" w14:paraId="7D0075D4" w14:textId="64541363">
      <w:pPr>
        <w:pStyle w:val="Odsekzoznamu"/>
        <w:numPr>
          <w:ilvl w:val="0"/>
          <w:numId w:val="4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571F937C">
        <w:rPr>
          <w:rFonts w:ascii="Arial" w:hAnsi="Arial" w:eastAsia="Deto Grotesk" w:cs="Arial"/>
        </w:rPr>
        <w:t xml:space="preserve">Ak zamestnávateľ nepreukáže, že výpoveď nedal oznamovateľovi práve v súvislosti s jeho oznámením, úkon na 30 dní pozastaví. Počas tejto doby oznamovateľ </w:t>
      </w:r>
      <w:r w:rsidRPr="30EA6FD8" w:rsidR="5B705CFC">
        <w:rPr>
          <w:rFonts w:ascii="Arial" w:hAnsi="Arial" w:eastAsia="Deto Grotesk" w:cs="Arial"/>
        </w:rPr>
        <w:t xml:space="preserve">môže </w:t>
      </w:r>
      <w:r w:rsidRPr="30EA6FD8" w:rsidR="571F937C">
        <w:rPr>
          <w:rFonts w:ascii="Arial" w:hAnsi="Arial" w:eastAsia="Deto Grotesk" w:cs="Arial"/>
        </w:rPr>
        <w:t>podať žiadosť na súd o  vydanie neodkladného opatrenia. Neodkladným opatrením súd môže rozhodnúť, že znovu pozastaví výpoveď, a to až do času</w:t>
      </w:r>
      <w:r w:rsidRPr="30EA6FD8" w:rsidR="4BC580CC">
        <w:rPr>
          <w:rFonts w:ascii="Arial" w:hAnsi="Arial" w:eastAsia="Deto Grotesk" w:cs="Arial"/>
        </w:rPr>
        <w:t>,</w:t>
      </w:r>
      <w:r w:rsidRPr="30EA6FD8" w:rsidR="571F937C">
        <w:rPr>
          <w:rFonts w:ascii="Arial" w:hAnsi="Arial" w:eastAsia="Deto Grotesk" w:cs="Arial"/>
        </w:rPr>
        <w:t xml:space="preserve"> kým sa nerozhodne o tom, či je výpoveď platná. Až do finálneho rozhodnutia súdu o </w:t>
      </w:r>
      <w:r w:rsidRPr="30EA6FD8" w:rsidR="571F937C">
        <w:rPr>
          <w:rFonts w:ascii="Arial" w:hAnsi="Arial" w:eastAsia="Deto Grotesk" w:cs="Arial"/>
        </w:rPr>
        <w:t>ne</w:t>
      </w:r>
      <w:r w:rsidRPr="30EA6FD8" w:rsidR="571F937C">
        <w:rPr>
          <w:rFonts w:ascii="Arial" w:hAnsi="Arial" w:eastAsia="Deto Grotesk" w:cs="Arial"/>
        </w:rPr>
        <w:t>/platnosti výpovede ostáva</w:t>
      </w:r>
      <w:r w:rsidRPr="30EA6FD8" w:rsidR="77BAD4F3">
        <w:rPr>
          <w:rFonts w:ascii="Arial" w:hAnsi="Arial" w:eastAsia="Deto Grotesk" w:cs="Arial"/>
        </w:rPr>
        <w:t xml:space="preserve"> oznamovateľ</w:t>
      </w:r>
      <w:r w:rsidRPr="30EA6FD8" w:rsidR="571F937C">
        <w:rPr>
          <w:rFonts w:ascii="Arial" w:hAnsi="Arial" w:eastAsia="Deto Grotesk" w:cs="Arial"/>
        </w:rPr>
        <w:t xml:space="preserve"> ďalej zamestnaný a dostáva mzdu. </w:t>
      </w:r>
    </w:p>
    <w:p w:rsidRPr="0081707F" w:rsidR="571F937C" w:rsidP="0081707F" w:rsidRDefault="571F937C" w14:paraId="510A5754" w14:textId="27597495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571F937C">
        <w:rPr>
          <w:rFonts w:ascii="Arial" w:hAnsi="Arial" w:eastAsia="Deto Grotesk" w:cs="Arial"/>
        </w:rPr>
        <w:t>Oznamovateľ môže požiadať Centrum právnej pomoci, aby mu pridelil advokáta na zastupovanie pred súdom. Náklady na advokáta v takýchto prípadoch znáša štát.</w:t>
      </w:r>
    </w:p>
    <w:p w:rsidR="001E0959" w:rsidP="0081707F" w:rsidRDefault="001E0959" w14:paraId="322D88B0" w14:textId="25469DB9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</w:p>
    <w:p w:rsidR="0081707F" w:rsidP="0081707F" w:rsidRDefault="0081707F" w14:paraId="211D8592" w14:textId="16D6B0AD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</w:p>
    <w:p w:rsidR="009808B5" w:rsidP="0081707F" w:rsidRDefault="009808B5" w14:paraId="454493EC" w14:textId="72EB8B9D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</w:p>
    <w:p w:rsidRPr="0081707F" w:rsidR="009808B5" w:rsidP="0081707F" w:rsidRDefault="009808B5" w14:paraId="5157FFCB" w14:textId="77777777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</w:p>
    <w:p w:rsidRPr="0081707F" w:rsidR="00DB3B60" w:rsidP="0081707F" w:rsidRDefault="00DB3B60" w14:paraId="07EF3AA8" w14:textId="1C3ED992">
      <w:pPr>
        <w:spacing w:after="0" w:line="360" w:lineRule="auto"/>
        <w:ind w:right="850"/>
        <w:jc w:val="both"/>
        <w:rPr>
          <w:rFonts w:ascii="Arial" w:hAnsi="Arial" w:eastAsia="Deto Grotesk" w:cs="Arial"/>
          <w:u w:val="single"/>
        </w:rPr>
      </w:pPr>
      <w:r w:rsidRPr="0081707F">
        <w:rPr>
          <w:rFonts w:ascii="Arial" w:hAnsi="Arial" w:eastAsia="Deto Grotesk" w:cs="Arial"/>
          <w:u w:val="single"/>
        </w:rPr>
        <w:lastRenderedPageBreak/>
        <w:t xml:space="preserve">Modelový prípad číslo </w:t>
      </w:r>
      <w:r w:rsidRPr="0081707F" w:rsidR="26056E4F">
        <w:rPr>
          <w:rFonts w:ascii="Arial" w:hAnsi="Arial" w:eastAsia="Deto Grotesk" w:cs="Arial"/>
          <w:u w:val="single"/>
        </w:rPr>
        <w:t>3</w:t>
      </w:r>
      <w:r w:rsidRPr="0081707F">
        <w:rPr>
          <w:rFonts w:ascii="Arial" w:hAnsi="Arial" w:eastAsia="Deto Grotesk" w:cs="Arial"/>
          <w:u w:val="single"/>
        </w:rPr>
        <w:t xml:space="preserve">: </w:t>
      </w:r>
    </w:p>
    <w:p w:rsidR="00DB3B60" w:rsidP="0081707F" w:rsidRDefault="00DB3B60" w14:paraId="7FA9F606" w14:textId="4918E298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 xml:space="preserve">Oznamovateľ z nášho modelového prípadu číslo 1 sa pred podaním oznámenia obáva, že voči nemu budú realizované odvetné opatrenia zo strany nadriadeného a rozhodne sa požiadať o ochranu. </w:t>
      </w:r>
    </w:p>
    <w:p w:rsidRPr="0081707F" w:rsidR="0081707F" w:rsidP="0081707F" w:rsidRDefault="0081707F" w14:paraId="5AB9CEFD" w14:textId="77777777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DB3B60" w:rsidP="0081707F" w:rsidRDefault="00DB3B60" w14:paraId="365050D2" w14:textId="77777777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Oznamovateľ môže požiadať o ochranu pri podávaní oznámenia, ale aj počas procesu jeho prešetrovania. </w:t>
      </w:r>
    </w:p>
    <w:p w:rsidRPr="0081707F" w:rsidR="00DB3B60" w:rsidP="30EA6FD8" w:rsidRDefault="00DB3B60" w14:paraId="42395FE1" w14:textId="20C63851">
      <w:pPr>
        <w:pStyle w:val="Odsekzoznamu"/>
        <w:numPr>
          <w:ilvl w:val="0"/>
          <w:numId w:val="4"/>
        </w:num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Žiadosť podáva oznamovateľ písomne alebo ústne do zápisnice orgánu, ktorý je príslušný na konanie</w:t>
      </w:r>
      <w:r w:rsidRPr="30EA6FD8" w:rsidR="0A684724">
        <w:rPr>
          <w:rFonts w:ascii="Arial" w:hAnsi="Arial" w:eastAsia="Deto Grotesk" w:cs="Arial"/>
        </w:rPr>
        <w:t xml:space="preserve">, v tomto modelovom príklade </w:t>
      </w:r>
      <w:r w:rsidRPr="30EA6FD8" w:rsidR="00DB3B60">
        <w:rPr>
          <w:rFonts w:ascii="Arial" w:hAnsi="Arial" w:eastAsia="Deto Grotesk" w:cs="Arial"/>
        </w:rPr>
        <w:t>prokurátorovi</w:t>
      </w:r>
      <w:r w:rsidRPr="30EA6FD8" w:rsidR="3BA4A2D4">
        <w:rPr>
          <w:rFonts w:ascii="Arial" w:hAnsi="Arial" w:eastAsia="Deto Grotesk" w:cs="Arial"/>
        </w:rPr>
        <w:t>.</w:t>
      </w:r>
      <w:r w:rsidRPr="30EA6FD8" w:rsidR="00DB3B60">
        <w:rPr>
          <w:rFonts w:ascii="Arial" w:hAnsi="Arial" w:eastAsia="Deto Grotesk" w:cs="Arial"/>
        </w:rPr>
        <w:t xml:space="preserve"> </w:t>
      </w:r>
    </w:p>
    <w:p w:rsidRPr="0081707F" w:rsidR="00DB3B60" w:rsidP="0081707F" w:rsidRDefault="00DB3B60" w14:paraId="2E20218B" w14:textId="1A81F249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>Ak  prokurátor  zistí, že ako oznamovateľ ste urobili kvalifikované oznámenie, bezodkladne vám poskyt</w:t>
      </w:r>
      <w:r w:rsidRPr="30EA6FD8" w:rsidR="03A7BA56">
        <w:rPr>
          <w:rFonts w:ascii="Arial" w:hAnsi="Arial" w:eastAsia="Deto Grotesk" w:cs="Arial"/>
        </w:rPr>
        <w:t>ne</w:t>
      </w:r>
      <w:r w:rsidRPr="30EA6FD8" w:rsidR="00DB3B60">
        <w:rPr>
          <w:rFonts w:ascii="Arial" w:hAnsi="Arial" w:eastAsia="Deto Grotesk" w:cs="Arial"/>
        </w:rPr>
        <w:t xml:space="preserve"> ochran</w:t>
      </w:r>
      <w:r w:rsidRPr="30EA6FD8" w:rsidR="001F53E1">
        <w:rPr>
          <w:rFonts w:ascii="Arial" w:hAnsi="Arial" w:eastAsia="Deto Grotesk" w:cs="Arial"/>
        </w:rPr>
        <w:t>u, o ktorej informuje Vášho zamestnávateľa</w:t>
      </w:r>
      <w:r w:rsidRPr="30EA6FD8" w:rsidR="00DB3B60">
        <w:rPr>
          <w:rFonts w:ascii="Arial" w:hAnsi="Arial" w:eastAsia="Deto Grotesk" w:cs="Arial"/>
        </w:rPr>
        <w:t>.</w:t>
      </w:r>
    </w:p>
    <w:p w:rsidR="0081707F" w:rsidP="0081707F" w:rsidRDefault="0081707F" w14:paraId="57C9F439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="00DB3B60" w:rsidP="0081707F" w:rsidRDefault="00DB3B60" w14:paraId="21B38D11" w14:textId="00F1B6AC">
      <w:pPr>
        <w:spacing w:after="0" w:line="360" w:lineRule="auto"/>
        <w:jc w:val="both"/>
        <w:rPr>
          <w:rFonts w:ascii="Arial" w:hAnsi="Arial" w:eastAsia="Deto Grotesk" w:cs="Arial"/>
          <w:i/>
          <w:iCs/>
        </w:rPr>
      </w:pPr>
      <w:r w:rsidRPr="0081707F">
        <w:rPr>
          <w:rFonts w:ascii="Arial" w:hAnsi="Arial" w:eastAsia="Deto Grotesk" w:cs="Arial"/>
          <w:i/>
          <w:iCs/>
        </w:rPr>
        <w:t xml:space="preserve">Vedúci odboru, pod ktorý spadá chránený oznamovateľ, sa ho rozhodne prepustiť (preradiť ho na menej platené miesto, prípadne mu zobrať benefity a pod.), a tým sa mu „pomstiť“ za podanie </w:t>
      </w:r>
      <w:r w:rsidRPr="0081707F" w:rsidR="068AB91C">
        <w:rPr>
          <w:rFonts w:ascii="Arial" w:hAnsi="Arial" w:eastAsia="Deto Grotesk" w:cs="Arial"/>
          <w:i/>
          <w:iCs/>
        </w:rPr>
        <w:t xml:space="preserve">trestného </w:t>
      </w:r>
      <w:r w:rsidRPr="0081707F">
        <w:rPr>
          <w:rFonts w:ascii="Arial" w:hAnsi="Arial" w:eastAsia="Deto Grotesk" w:cs="Arial"/>
          <w:i/>
          <w:iCs/>
        </w:rPr>
        <w:t xml:space="preserve">oznámenia o pochybnom </w:t>
      </w:r>
      <w:r w:rsidRPr="0081707F" w:rsidR="00CB5D28">
        <w:rPr>
          <w:rFonts w:ascii="Arial" w:hAnsi="Arial" w:eastAsia="Deto Grotesk" w:cs="Arial"/>
          <w:i/>
          <w:iCs/>
        </w:rPr>
        <w:t>tendri</w:t>
      </w:r>
      <w:r w:rsidRPr="0081707F">
        <w:rPr>
          <w:rFonts w:ascii="Arial" w:hAnsi="Arial" w:eastAsia="Deto Grotesk" w:cs="Arial"/>
          <w:i/>
          <w:iCs/>
        </w:rPr>
        <w:t xml:space="preserve">. Oznamovateľ nestráca hlavu a obráti sa na Úrad na ochranu oznamovateľov.  </w:t>
      </w:r>
    </w:p>
    <w:p w:rsidRPr="0081707F" w:rsidR="0081707F" w:rsidP="0081707F" w:rsidRDefault="0081707F" w14:paraId="53F99C01" w14:textId="77777777">
      <w:pPr>
        <w:spacing w:after="0" w:line="240" w:lineRule="auto"/>
        <w:jc w:val="both"/>
        <w:rPr>
          <w:rFonts w:ascii="Arial" w:hAnsi="Arial" w:eastAsia="Deto Grotesk" w:cs="Arial"/>
          <w:i/>
          <w:iCs/>
        </w:rPr>
      </w:pPr>
    </w:p>
    <w:p w:rsidRPr="0081707F" w:rsidR="00DB3B60" w:rsidP="0081707F" w:rsidRDefault="00DB3B60" w14:paraId="0037882A" w14:textId="7E539610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Zamestnávateľ podáva žiadosť o udelenie súhlasu </w:t>
      </w:r>
      <w:r w:rsidRPr="30EA6FD8" w:rsidR="00CB5D28">
        <w:rPr>
          <w:rFonts w:ascii="Arial" w:hAnsi="Arial" w:eastAsia="Deto Grotesk" w:cs="Arial"/>
        </w:rPr>
        <w:t>s</w:t>
      </w:r>
      <w:r w:rsidRPr="30EA6FD8" w:rsidR="00FA7395">
        <w:rPr>
          <w:rFonts w:ascii="Arial" w:hAnsi="Arial" w:eastAsia="Deto Grotesk" w:cs="Arial"/>
        </w:rPr>
        <w:t xml:space="preserve"> pracovnoprávnym úkonom </w:t>
      </w:r>
      <w:r w:rsidRPr="30EA6FD8" w:rsidR="00DB3B60">
        <w:rPr>
          <w:rFonts w:ascii="Arial" w:hAnsi="Arial" w:eastAsia="Deto Grotesk" w:cs="Arial"/>
        </w:rPr>
        <w:t>na Úrad na ochranu oznamovateľov, čo mu vyplýva ako povinnosť zo zákona 54/2019 Z. z. o ochrane oznamovateľov protispoločenskej činnosti.</w:t>
      </w:r>
    </w:p>
    <w:p w:rsidRPr="0081707F" w:rsidR="00DB3B60" w:rsidP="0081707F" w:rsidRDefault="2E8035B4" w14:paraId="67FE325D" w14:textId="6FBB6A14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2E8035B4">
        <w:rPr>
          <w:rFonts w:ascii="Arial" w:hAnsi="Arial" w:eastAsia="Deto Grotesk" w:cs="Arial"/>
        </w:rPr>
        <w:t>Úrad rozhodne do 30 dní</w:t>
      </w:r>
      <w:r w:rsidRPr="30EA6FD8" w:rsidR="00DB3B60">
        <w:rPr>
          <w:rFonts w:ascii="Arial" w:hAnsi="Arial" w:eastAsia="Deto Grotesk" w:cs="Arial"/>
        </w:rPr>
        <w:t xml:space="preserve"> na základe žiadosti zamestnávateľa a vyjadrenia chráneného oznamovateľa</w:t>
      </w:r>
      <w:r w:rsidRPr="30EA6FD8" w:rsidR="667FF20C">
        <w:rPr>
          <w:rFonts w:ascii="Arial" w:hAnsi="Arial" w:eastAsia="Deto Grotesk" w:cs="Arial"/>
        </w:rPr>
        <w:t xml:space="preserve">. </w:t>
      </w:r>
      <w:r w:rsidRPr="30EA6FD8" w:rsidR="00DB3B60">
        <w:rPr>
          <w:rFonts w:ascii="Arial" w:hAnsi="Arial" w:eastAsia="Deto Grotesk" w:cs="Arial"/>
        </w:rPr>
        <w:t>Úrad udelí súhlas s navrhovaným pracovnoprávnym úkonom iba vtedy, ak zamestnávateľ preukáže, že navrhovaný pracovnoprávny úkon nem</w:t>
      </w:r>
      <w:r w:rsidRPr="30EA6FD8" w:rsidR="00762048">
        <w:rPr>
          <w:rFonts w:ascii="Arial" w:hAnsi="Arial" w:eastAsia="Deto Grotesk" w:cs="Arial"/>
        </w:rPr>
        <w:t>á</w:t>
      </w:r>
      <w:r w:rsidRPr="30EA6FD8" w:rsidR="00DB3B60">
        <w:rPr>
          <w:rFonts w:ascii="Arial" w:hAnsi="Arial" w:eastAsia="Deto Grotesk" w:cs="Arial"/>
        </w:rPr>
        <w:t xml:space="preserve"> žiadnu príčinnú súvislosť s kvalifikovaným oznámením. Inak žiadosť zamietne.</w:t>
      </w:r>
    </w:p>
    <w:p w:rsidRPr="0081707F" w:rsidR="2BC191D7" w:rsidP="0081707F" w:rsidRDefault="00DB3B60" w14:paraId="599DE94F" w14:textId="297A8E90">
      <w:pPr>
        <w:pStyle w:val="Odsekzoznamu"/>
        <w:numPr>
          <w:ilvl w:val="0"/>
          <w:numId w:val="4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360" w:lineRule="auto"/>
        <w:ind w:left="360"/>
        <w:jc w:val="both"/>
        <w:rPr>
          <w:rFonts w:ascii="Arial" w:hAnsi="Arial" w:eastAsia="Deto Grotesk" w:cs="Arial"/>
        </w:rPr>
      </w:pPr>
      <w:r w:rsidRPr="30EA6FD8" w:rsidR="00DB3B60">
        <w:rPr>
          <w:rFonts w:ascii="Arial" w:hAnsi="Arial" w:eastAsia="Deto Grotesk" w:cs="Arial"/>
        </w:rPr>
        <w:t xml:space="preserve">Právny úkon, na ktorý úrad neudelil súhlas, je neplatný. </w:t>
      </w:r>
    </w:p>
    <w:sectPr w:rsidRPr="0081707F" w:rsidR="2BC191D7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6983" w:rsidP="00156DA1" w:rsidRDefault="008D6983" w14:paraId="16DF84D1" w14:textId="77777777">
      <w:pPr>
        <w:spacing w:after="0" w:line="240" w:lineRule="auto"/>
      </w:pPr>
      <w:r>
        <w:separator/>
      </w:r>
    </w:p>
  </w:endnote>
  <w:endnote w:type="continuationSeparator" w:id="0">
    <w:p w:rsidR="008D6983" w:rsidP="00156DA1" w:rsidRDefault="008D6983" w14:paraId="7C1D8FCE" w14:textId="77777777">
      <w:pPr>
        <w:spacing w:after="0" w:line="240" w:lineRule="auto"/>
      </w:pPr>
      <w:r>
        <w:continuationSeparator/>
      </w:r>
    </w:p>
  </w:endnote>
  <w:endnote w:type="continuationNotice" w:id="1">
    <w:p w:rsidR="008D6983" w:rsidRDefault="008D6983" w14:paraId="74FA4EB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to Grotesk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F3AF7D" w:rsidTr="005A2609" w14:paraId="63CA9D50" w14:textId="77777777">
      <w:tc>
        <w:tcPr>
          <w:tcW w:w="3020" w:type="dxa"/>
        </w:tcPr>
        <w:p w:rsidR="0AF3AF7D" w:rsidP="005A2609" w:rsidRDefault="0AF3AF7D" w14:paraId="13B622B6" w14:textId="6857D23C">
          <w:pPr>
            <w:pStyle w:val="Hlavika"/>
            <w:ind w:left="-115"/>
          </w:pPr>
        </w:p>
      </w:tc>
      <w:tc>
        <w:tcPr>
          <w:tcW w:w="3020" w:type="dxa"/>
        </w:tcPr>
        <w:p w:rsidR="0AF3AF7D" w:rsidP="005A2609" w:rsidRDefault="0AF3AF7D" w14:paraId="713AD444" w14:textId="0129ECBB">
          <w:pPr>
            <w:pStyle w:val="Hlavika"/>
            <w:jc w:val="center"/>
          </w:pPr>
        </w:p>
      </w:tc>
      <w:tc>
        <w:tcPr>
          <w:tcW w:w="3020" w:type="dxa"/>
        </w:tcPr>
        <w:p w:rsidR="0AF3AF7D" w:rsidP="005A2609" w:rsidRDefault="0AF3AF7D" w14:paraId="13A54C2F" w14:textId="4EF7A6B3">
          <w:pPr>
            <w:pStyle w:val="Hlavika"/>
            <w:ind w:right="-115"/>
            <w:jc w:val="right"/>
          </w:pPr>
        </w:p>
      </w:tc>
    </w:tr>
  </w:tbl>
  <w:p w:rsidR="0AF3AF7D" w:rsidP="005A2609" w:rsidRDefault="0AF3AF7D" w14:paraId="671547E5" w14:textId="637B5D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6983" w:rsidP="00156DA1" w:rsidRDefault="008D6983" w14:paraId="2763D1B1" w14:textId="77777777">
      <w:pPr>
        <w:spacing w:after="0" w:line="240" w:lineRule="auto"/>
      </w:pPr>
      <w:r>
        <w:separator/>
      </w:r>
    </w:p>
  </w:footnote>
  <w:footnote w:type="continuationSeparator" w:id="0">
    <w:p w:rsidR="008D6983" w:rsidP="00156DA1" w:rsidRDefault="008D6983" w14:paraId="598F2653" w14:textId="77777777">
      <w:pPr>
        <w:spacing w:after="0" w:line="240" w:lineRule="auto"/>
      </w:pPr>
      <w:r>
        <w:continuationSeparator/>
      </w:r>
    </w:p>
  </w:footnote>
  <w:footnote w:type="continuationNotice" w:id="1">
    <w:p w:rsidR="008D6983" w:rsidRDefault="008D6983" w14:paraId="1082A7BD" w14:textId="77777777">
      <w:pPr>
        <w:spacing w:after="0" w:line="240" w:lineRule="auto"/>
      </w:pPr>
    </w:p>
  </w:footnote>
  <w:footnote w:id="2">
    <w:p w:rsidR="00DB3B60" w:rsidP="00DB3B60" w:rsidRDefault="00DB3B60" w14:paraId="78DC1258" w14:textId="77777777">
      <w:pPr>
        <w:pStyle w:val="Textpoznmkypodiarou"/>
      </w:pPr>
      <w:r>
        <w:rPr>
          <w:rStyle w:val="Odkaznapoznmkupodiarou"/>
        </w:rPr>
        <w:footnoteRef/>
      </w:r>
      <w:r>
        <w:t xml:space="preserve"> Dokument dostupný na: </w:t>
      </w:r>
      <w:hyperlink w:history="1" r:id="rId1">
        <w:r>
          <w:rPr>
            <w:rStyle w:val="Hypertextovprepojenie"/>
          </w:rPr>
          <w:t>komentar-maj-2022.pdf</w:t>
        </w:r>
      </w:hyperlink>
      <w:r>
        <w:t xml:space="preserve"> </w:t>
      </w:r>
    </w:p>
  </w:footnote>
  <w:footnote w:id="3">
    <w:p w:rsidR="00DB3B60" w:rsidP="00DB3B60" w:rsidRDefault="00DB3B60" w14:paraId="2DB8A09F" w14:textId="7777777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w:history="1" r:id="rId2">
        <w:r>
          <w:rPr>
            <w:rStyle w:val="Hypertextovprepojenie"/>
          </w:rPr>
          <w:t>GCB-EU-2021-National-results.xlsx (live.com)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F3AF7D" w:rsidTr="6423C1BE" w14:paraId="18C391EE" w14:textId="77777777">
      <w:tc>
        <w:tcPr>
          <w:tcW w:w="3020" w:type="dxa"/>
        </w:tcPr>
        <w:p w:rsidR="0AF3AF7D" w:rsidP="005A2609" w:rsidRDefault="0AF3AF7D" w14:paraId="126F8A15" w14:textId="60819A04">
          <w:pPr>
            <w:pStyle w:val="Hlavika"/>
            <w:ind w:left="-115"/>
          </w:pPr>
        </w:p>
      </w:tc>
      <w:tc>
        <w:tcPr>
          <w:tcW w:w="3020" w:type="dxa"/>
        </w:tcPr>
        <w:p w:rsidR="0AF3AF7D" w:rsidP="005A2609" w:rsidRDefault="0AF3AF7D" w14:paraId="6992E059" w14:textId="7114BA12">
          <w:pPr>
            <w:pStyle w:val="Hlavika"/>
            <w:jc w:val="center"/>
          </w:pPr>
        </w:p>
      </w:tc>
      <w:tc>
        <w:tcPr>
          <w:tcW w:w="3020" w:type="dxa"/>
        </w:tcPr>
        <w:p w:rsidR="0AF3AF7D" w:rsidP="005A2609" w:rsidRDefault="0AF3AF7D" w14:paraId="265AEF0E" w14:textId="5CC35F84">
          <w:pPr>
            <w:pStyle w:val="Hlavika"/>
            <w:ind w:right="-115"/>
            <w:jc w:val="right"/>
          </w:pPr>
        </w:p>
      </w:tc>
    </w:tr>
  </w:tbl>
  <w:p w:rsidR="0AF3AF7D" w:rsidP="005A2609" w:rsidRDefault="0AF3AF7D" w14:paraId="14314DD9" w14:textId="3835CB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775"/>
    <w:multiLevelType w:val="hybridMultilevel"/>
    <w:tmpl w:val="188AA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60896"/>
    <w:multiLevelType w:val="hybridMultilevel"/>
    <w:tmpl w:val="97F8B3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D5C1D"/>
    <w:multiLevelType w:val="hybridMultilevel"/>
    <w:tmpl w:val="7A0242E2"/>
    <w:lvl w:ilvl="0" w:tplc="66E241E6">
      <w:start w:val="1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19E35AC2"/>
    <w:multiLevelType w:val="hybridMultilevel"/>
    <w:tmpl w:val="1652CCF2"/>
    <w:lvl w:ilvl="0" w:tplc="041B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" w15:restartNumberingAfterBreak="0">
    <w:nsid w:val="28167C2C"/>
    <w:multiLevelType w:val="hybridMultilevel"/>
    <w:tmpl w:val="4F48E4D4"/>
    <w:lvl w:ilvl="0" w:tplc="2940D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4570D"/>
    <w:multiLevelType w:val="hybridMultilevel"/>
    <w:tmpl w:val="BF2686C8"/>
    <w:lvl w:ilvl="0" w:tplc="FFFFFFFF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6" w15:restartNumberingAfterBreak="0">
    <w:nsid w:val="4799065E"/>
    <w:multiLevelType w:val="hybridMultilevel"/>
    <w:tmpl w:val="052A7C12"/>
    <w:lvl w:ilvl="0" w:tplc="041B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5AC870D4"/>
    <w:multiLevelType w:val="hybridMultilevel"/>
    <w:tmpl w:val="0E7AA38A"/>
    <w:lvl w:ilvl="0" w:tplc="041B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5BEB06A8"/>
    <w:multiLevelType w:val="hybridMultilevel"/>
    <w:tmpl w:val="39027E74"/>
    <w:lvl w:ilvl="0" w:tplc="773A462A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F6F43E9"/>
    <w:multiLevelType w:val="hybridMultilevel"/>
    <w:tmpl w:val="C43CE8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944DD"/>
    <w:multiLevelType w:val="hybridMultilevel"/>
    <w:tmpl w:val="D1FE8D94"/>
    <w:lvl w:ilvl="0" w:tplc="79DC730A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8059112">
    <w:abstractNumId w:val="4"/>
  </w:num>
  <w:num w:numId="2" w16cid:durableId="1375698028">
    <w:abstractNumId w:val="7"/>
  </w:num>
  <w:num w:numId="3" w16cid:durableId="2104524199">
    <w:abstractNumId w:val="2"/>
  </w:num>
  <w:num w:numId="4" w16cid:durableId="1915239363">
    <w:abstractNumId w:val="5"/>
  </w:num>
  <w:num w:numId="5" w16cid:durableId="1708485050">
    <w:abstractNumId w:val="3"/>
  </w:num>
  <w:num w:numId="6" w16cid:durableId="1428496800">
    <w:abstractNumId w:val="6"/>
  </w:num>
  <w:num w:numId="7" w16cid:durableId="1861236013">
    <w:abstractNumId w:val="8"/>
  </w:num>
  <w:num w:numId="8" w16cid:durableId="351228188">
    <w:abstractNumId w:val="10"/>
  </w:num>
  <w:num w:numId="9" w16cid:durableId="1408766445">
    <w:abstractNumId w:val="9"/>
  </w:num>
  <w:num w:numId="10" w16cid:durableId="273023846">
    <w:abstractNumId w:val="0"/>
  </w:num>
  <w:num w:numId="11" w16cid:durableId="29105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17"/>
    <w:rsid w:val="00002A7C"/>
    <w:rsid w:val="00002E38"/>
    <w:rsid w:val="000123D3"/>
    <w:rsid w:val="00023426"/>
    <w:rsid w:val="00034B02"/>
    <w:rsid w:val="0004659A"/>
    <w:rsid w:val="00071F03"/>
    <w:rsid w:val="000734D6"/>
    <w:rsid w:val="00073619"/>
    <w:rsid w:val="00083411"/>
    <w:rsid w:val="000871ED"/>
    <w:rsid w:val="000916A9"/>
    <w:rsid w:val="000A77AA"/>
    <w:rsid w:val="000B3E75"/>
    <w:rsid w:val="000C7C73"/>
    <w:rsid w:val="000D2382"/>
    <w:rsid w:val="00117887"/>
    <w:rsid w:val="00140AAD"/>
    <w:rsid w:val="001410DD"/>
    <w:rsid w:val="00154077"/>
    <w:rsid w:val="00156DA1"/>
    <w:rsid w:val="00176C69"/>
    <w:rsid w:val="00193C66"/>
    <w:rsid w:val="001B092C"/>
    <w:rsid w:val="001B0E4C"/>
    <w:rsid w:val="001B66AA"/>
    <w:rsid w:val="001C30E7"/>
    <w:rsid w:val="001D17F6"/>
    <w:rsid w:val="001E0959"/>
    <w:rsid w:val="001F53E1"/>
    <w:rsid w:val="002158CD"/>
    <w:rsid w:val="00241303"/>
    <w:rsid w:val="00281309"/>
    <w:rsid w:val="002862B2"/>
    <w:rsid w:val="00295301"/>
    <w:rsid w:val="002B61FF"/>
    <w:rsid w:val="002C143B"/>
    <w:rsid w:val="00313EDB"/>
    <w:rsid w:val="0033448B"/>
    <w:rsid w:val="00395391"/>
    <w:rsid w:val="003A44DF"/>
    <w:rsid w:val="00407CE1"/>
    <w:rsid w:val="004165BC"/>
    <w:rsid w:val="00416D70"/>
    <w:rsid w:val="004231E5"/>
    <w:rsid w:val="004351D9"/>
    <w:rsid w:val="00435B52"/>
    <w:rsid w:val="004369C0"/>
    <w:rsid w:val="00451140"/>
    <w:rsid w:val="00453A9A"/>
    <w:rsid w:val="0045488F"/>
    <w:rsid w:val="0047644E"/>
    <w:rsid w:val="004903C9"/>
    <w:rsid w:val="00496977"/>
    <w:rsid w:val="004A3CF6"/>
    <w:rsid w:val="004B2330"/>
    <w:rsid w:val="004B5F1E"/>
    <w:rsid w:val="004E70F1"/>
    <w:rsid w:val="00505660"/>
    <w:rsid w:val="00505BC6"/>
    <w:rsid w:val="005074D5"/>
    <w:rsid w:val="005514BF"/>
    <w:rsid w:val="00553298"/>
    <w:rsid w:val="00555C7E"/>
    <w:rsid w:val="005572E3"/>
    <w:rsid w:val="00572373"/>
    <w:rsid w:val="005731BF"/>
    <w:rsid w:val="005A2609"/>
    <w:rsid w:val="005B54C7"/>
    <w:rsid w:val="005D08B1"/>
    <w:rsid w:val="005F1B8F"/>
    <w:rsid w:val="005F42DF"/>
    <w:rsid w:val="00610217"/>
    <w:rsid w:val="0061610B"/>
    <w:rsid w:val="00633A04"/>
    <w:rsid w:val="006557E9"/>
    <w:rsid w:val="00655C74"/>
    <w:rsid w:val="00675C88"/>
    <w:rsid w:val="006807BE"/>
    <w:rsid w:val="00680FE8"/>
    <w:rsid w:val="006915C4"/>
    <w:rsid w:val="006A183E"/>
    <w:rsid w:val="006A539F"/>
    <w:rsid w:val="006B1F68"/>
    <w:rsid w:val="006B757C"/>
    <w:rsid w:val="006D21FE"/>
    <w:rsid w:val="006D2E4A"/>
    <w:rsid w:val="006E14CA"/>
    <w:rsid w:val="006E4ACB"/>
    <w:rsid w:val="006F5F4C"/>
    <w:rsid w:val="00701701"/>
    <w:rsid w:val="007039DE"/>
    <w:rsid w:val="00714DA2"/>
    <w:rsid w:val="00725417"/>
    <w:rsid w:val="007432EE"/>
    <w:rsid w:val="00752251"/>
    <w:rsid w:val="0075478F"/>
    <w:rsid w:val="00762048"/>
    <w:rsid w:val="00762B53"/>
    <w:rsid w:val="0077246D"/>
    <w:rsid w:val="007960D3"/>
    <w:rsid w:val="007D4E5F"/>
    <w:rsid w:val="007E2FAA"/>
    <w:rsid w:val="007F15B7"/>
    <w:rsid w:val="0081707F"/>
    <w:rsid w:val="00821A77"/>
    <w:rsid w:val="008220BE"/>
    <w:rsid w:val="00830E55"/>
    <w:rsid w:val="00841433"/>
    <w:rsid w:val="008568A3"/>
    <w:rsid w:val="00867D12"/>
    <w:rsid w:val="008800BB"/>
    <w:rsid w:val="00885BC6"/>
    <w:rsid w:val="00886561"/>
    <w:rsid w:val="0089043E"/>
    <w:rsid w:val="008B3AAF"/>
    <w:rsid w:val="008D4F7C"/>
    <w:rsid w:val="008D6983"/>
    <w:rsid w:val="008E22DA"/>
    <w:rsid w:val="008F445D"/>
    <w:rsid w:val="0090169F"/>
    <w:rsid w:val="009055AF"/>
    <w:rsid w:val="00906E0A"/>
    <w:rsid w:val="00912296"/>
    <w:rsid w:val="009128FA"/>
    <w:rsid w:val="00921871"/>
    <w:rsid w:val="00921C42"/>
    <w:rsid w:val="00961542"/>
    <w:rsid w:val="00975D40"/>
    <w:rsid w:val="0097624A"/>
    <w:rsid w:val="00980545"/>
    <w:rsid w:val="009808B5"/>
    <w:rsid w:val="00986319"/>
    <w:rsid w:val="00986B9E"/>
    <w:rsid w:val="00995607"/>
    <w:rsid w:val="00997E20"/>
    <w:rsid w:val="009A2826"/>
    <w:rsid w:val="009B1DCA"/>
    <w:rsid w:val="009B3BFE"/>
    <w:rsid w:val="009D4279"/>
    <w:rsid w:val="009E3641"/>
    <w:rsid w:val="00A00838"/>
    <w:rsid w:val="00A07415"/>
    <w:rsid w:val="00A25776"/>
    <w:rsid w:val="00A4695B"/>
    <w:rsid w:val="00A47FA9"/>
    <w:rsid w:val="00A62873"/>
    <w:rsid w:val="00A656E0"/>
    <w:rsid w:val="00A7182A"/>
    <w:rsid w:val="00A75C7E"/>
    <w:rsid w:val="00A82F65"/>
    <w:rsid w:val="00A85CE5"/>
    <w:rsid w:val="00A90750"/>
    <w:rsid w:val="00A97E59"/>
    <w:rsid w:val="00AA54A8"/>
    <w:rsid w:val="00AB0848"/>
    <w:rsid w:val="00AE6E7D"/>
    <w:rsid w:val="00AF587B"/>
    <w:rsid w:val="00B45BA1"/>
    <w:rsid w:val="00B56160"/>
    <w:rsid w:val="00B6291C"/>
    <w:rsid w:val="00B74AF4"/>
    <w:rsid w:val="00BA59A0"/>
    <w:rsid w:val="00BB79D7"/>
    <w:rsid w:val="00BE7445"/>
    <w:rsid w:val="00C046D0"/>
    <w:rsid w:val="00C2089C"/>
    <w:rsid w:val="00C263B7"/>
    <w:rsid w:val="00C32473"/>
    <w:rsid w:val="00C732EA"/>
    <w:rsid w:val="00C73367"/>
    <w:rsid w:val="00C812F7"/>
    <w:rsid w:val="00C8694C"/>
    <w:rsid w:val="00C95E08"/>
    <w:rsid w:val="00CA6A78"/>
    <w:rsid w:val="00CB5D28"/>
    <w:rsid w:val="00CE5F5A"/>
    <w:rsid w:val="00D17FD9"/>
    <w:rsid w:val="00D269DA"/>
    <w:rsid w:val="00D518DD"/>
    <w:rsid w:val="00D65EDF"/>
    <w:rsid w:val="00D760B6"/>
    <w:rsid w:val="00D95A2C"/>
    <w:rsid w:val="00DA2415"/>
    <w:rsid w:val="00DB3B60"/>
    <w:rsid w:val="00DF3005"/>
    <w:rsid w:val="00DF5CBF"/>
    <w:rsid w:val="00E01BEA"/>
    <w:rsid w:val="00E0573A"/>
    <w:rsid w:val="00E0659D"/>
    <w:rsid w:val="00E21EFC"/>
    <w:rsid w:val="00E37E08"/>
    <w:rsid w:val="00E41875"/>
    <w:rsid w:val="00E429B9"/>
    <w:rsid w:val="00E54FC2"/>
    <w:rsid w:val="00E73F26"/>
    <w:rsid w:val="00E84477"/>
    <w:rsid w:val="00E9414D"/>
    <w:rsid w:val="00EA1AF7"/>
    <w:rsid w:val="00EB1F8E"/>
    <w:rsid w:val="00EC782D"/>
    <w:rsid w:val="00EE3CA6"/>
    <w:rsid w:val="00EE614D"/>
    <w:rsid w:val="00EE687E"/>
    <w:rsid w:val="00F01E7D"/>
    <w:rsid w:val="00F30DFF"/>
    <w:rsid w:val="00F433F7"/>
    <w:rsid w:val="00F7428F"/>
    <w:rsid w:val="00F74D85"/>
    <w:rsid w:val="00FA7395"/>
    <w:rsid w:val="00FB5690"/>
    <w:rsid w:val="00FC2F54"/>
    <w:rsid w:val="00FD2A93"/>
    <w:rsid w:val="00FF7B00"/>
    <w:rsid w:val="012934A7"/>
    <w:rsid w:val="02979EAF"/>
    <w:rsid w:val="039DBC12"/>
    <w:rsid w:val="03A7BA56"/>
    <w:rsid w:val="0462E259"/>
    <w:rsid w:val="04BA0364"/>
    <w:rsid w:val="058EBB46"/>
    <w:rsid w:val="05F300B5"/>
    <w:rsid w:val="068AB91C"/>
    <w:rsid w:val="068D861F"/>
    <w:rsid w:val="090204AB"/>
    <w:rsid w:val="0A57D766"/>
    <w:rsid w:val="0A684724"/>
    <w:rsid w:val="0AF3AF7D"/>
    <w:rsid w:val="0C5B3A3F"/>
    <w:rsid w:val="0C6CB8A2"/>
    <w:rsid w:val="0DD660DA"/>
    <w:rsid w:val="0E7AC2E6"/>
    <w:rsid w:val="0ECC5FEF"/>
    <w:rsid w:val="0ECFC621"/>
    <w:rsid w:val="0F12202C"/>
    <w:rsid w:val="0F72313B"/>
    <w:rsid w:val="100AD44E"/>
    <w:rsid w:val="100B9B06"/>
    <w:rsid w:val="11DFF2AD"/>
    <w:rsid w:val="13CF762C"/>
    <w:rsid w:val="13DAEB40"/>
    <w:rsid w:val="16C84927"/>
    <w:rsid w:val="17F5B8BE"/>
    <w:rsid w:val="19ACC565"/>
    <w:rsid w:val="1A0C2BF7"/>
    <w:rsid w:val="1B6F13EE"/>
    <w:rsid w:val="1B83164D"/>
    <w:rsid w:val="1C96C1E2"/>
    <w:rsid w:val="1D0CF1E0"/>
    <w:rsid w:val="1D479078"/>
    <w:rsid w:val="1E803688"/>
    <w:rsid w:val="1EBAB70F"/>
    <w:rsid w:val="1EFC7D38"/>
    <w:rsid w:val="1F0ACB49"/>
    <w:rsid w:val="2075C333"/>
    <w:rsid w:val="21314E45"/>
    <w:rsid w:val="21FEBFFC"/>
    <w:rsid w:val="23B3B8BA"/>
    <w:rsid w:val="24DC3E60"/>
    <w:rsid w:val="24E06F18"/>
    <w:rsid w:val="250815BA"/>
    <w:rsid w:val="25A7BD31"/>
    <w:rsid w:val="26056E4F"/>
    <w:rsid w:val="2619BF77"/>
    <w:rsid w:val="2748E055"/>
    <w:rsid w:val="2904A241"/>
    <w:rsid w:val="292325F2"/>
    <w:rsid w:val="292F71F9"/>
    <w:rsid w:val="295AD407"/>
    <w:rsid w:val="2962CDA3"/>
    <w:rsid w:val="29B23E4D"/>
    <w:rsid w:val="29FD69B6"/>
    <w:rsid w:val="2A7B2E54"/>
    <w:rsid w:val="2BC191D7"/>
    <w:rsid w:val="2C16FEB5"/>
    <w:rsid w:val="2C1E73AE"/>
    <w:rsid w:val="2C928CB0"/>
    <w:rsid w:val="2D027777"/>
    <w:rsid w:val="2DC6DF08"/>
    <w:rsid w:val="2E8035B4"/>
    <w:rsid w:val="2EC35EA8"/>
    <w:rsid w:val="2F96085D"/>
    <w:rsid w:val="30B9286D"/>
    <w:rsid w:val="30EA6FD8"/>
    <w:rsid w:val="3126F455"/>
    <w:rsid w:val="31A5C9C3"/>
    <w:rsid w:val="31BCC03D"/>
    <w:rsid w:val="31C53DC5"/>
    <w:rsid w:val="32C23702"/>
    <w:rsid w:val="32E56432"/>
    <w:rsid w:val="32EB9CC2"/>
    <w:rsid w:val="33BC9229"/>
    <w:rsid w:val="347D0393"/>
    <w:rsid w:val="34847638"/>
    <w:rsid w:val="34980EEF"/>
    <w:rsid w:val="3554720E"/>
    <w:rsid w:val="3558628A"/>
    <w:rsid w:val="355E100C"/>
    <w:rsid w:val="369B8CAF"/>
    <w:rsid w:val="37D48F72"/>
    <w:rsid w:val="3811BCDB"/>
    <w:rsid w:val="38FD6F43"/>
    <w:rsid w:val="3A1B7B06"/>
    <w:rsid w:val="3BA4A2D4"/>
    <w:rsid w:val="3BCC255F"/>
    <w:rsid w:val="3CC5633A"/>
    <w:rsid w:val="3CCC0A60"/>
    <w:rsid w:val="3CFA539E"/>
    <w:rsid w:val="3D09C7E7"/>
    <w:rsid w:val="3D60D785"/>
    <w:rsid w:val="3DDA7B41"/>
    <w:rsid w:val="3EDFF7E2"/>
    <w:rsid w:val="3EF85404"/>
    <w:rsid w:val="3F3843CE"/>
    <w:rsid w:val="42A45189"/>
    <w:rsid w:val="42FF5195"/>
    <w:rsid w:val="4305A226"/>
    <w:rsid w:val="430D5A6D"/>
    <w:rsid w:val="43AC159E"/>
    <w:rsid w:val="43D6855F"/>
    <w:rsid w:val="43EC6204"/>
    <w:rsid w:val="4462775B"/>
    <w:rsid w:val="44DF53F9"/>
    <w:rsid w:val="456D7B66"/>
    <w:rsid w:val="46112796"/>
    <w:rsid w:val="4672B35F"/>
    <w:rsid w:val="4687B0CF"/>
    <w:rsid w:val="48964D05"/>
    <w:rsid w:val="4916001F"/>
    <w:rsid w:val="4965E7F9"/>
    <w:rsid w:val="4A52F868"/>
    <w:rsid w:val="4AEED5D5"/>
    <w:rsid w:val="4BC580CC"/>
    <w:rsid w:val="4C28BD26"/>
    <w:rsid w:val="4C3D6A69"/>
    <w:rsid w:val="4C5C1B98"/>
    <w:rsid w:val="4CA5D7E4"/>
    <w:rsid w:val="4DBE7FD1"/>
    <w:rsid w:val="4E0959A1"/>
    <w:rsid w:val="4E7BB669"/>
    <w:rsid w:val="4FC6822C"/>
    <w:rsid w:val="4FD6B490"/>
    <w:rsid w:val="4FDFAA89"/>
    <w:rsid w:val="4FE8F201"/>
    <w:rsid w:val="5079DA80"/>
    <w:rsid w:val="50CF716D"/>
    <w:rsid w:val="50F090ED"/>
    <w:rsid w:val="50F62093"/>
    <w:rsid w:val="5187E315"/>
    <w:rsid w:val="52FE22EE"/>
    <w:rsid w:val="5323B376"/>
    <w:rsid w:val="539A62AC"/>
    <w:rsid w:val="541558A9"/>
    <w:rsid w:val="542DC155"/>
    <w:rsid w:val="5499EB98"/>
    <w:rsid w:val="5530E04A"/>
    <w:rsid w:val="5532EB1C"/>
    <w:rsid w:val="55AC6E45"/>
    <w:rsid w:val="5635C3B0"/>
    <w:rsid w:val="571E9355"/>
    <w:rsid w:val="571F937C"/>
    <w:rsid w:val="57BF131E"/>
    <w:rsid w:val="57FDB684"/>
    <w:rsid w:val="582E846D"/>
    <w:rsid w:val="59C821B3"/>
    <w:rsid w:val="59CCA55F"/>
    <w:rsid w:val="59F77E4D"/>
    <w:rsid w:val="5A26A6DE"/>
    <w:rsid w:val="5A9F5E43"/>
    <w:rsid w:val="5A9FF15D"/>
    <w:rsid w:val="5ABFAB58"/>
    <w:rsid w:val="5ACEB44C"/>
    <w:rsid w:val="5B705CFC"/>
    <w:rsid w:val="5BCA31F4"/>
    <w:rsid w:val="5C5B7BB9"/>
    <w:rsid w:val="5CE3D4B5"/>
    <w:rsid w:val="5D2C962D"/>
    <w:rsid w:val="5DAECFD4"/>
    <w:rsid w:val="5E0E4294"/>
    <w:rsid w:val="5E16C01C"/>
    <w:rsid w:val="5E1D7C62"/>
    <w:rsid w:val="5E66661D"/>
    <w:rsid w:val="5E6E395C"/>
    <w:rsid w:val="5F536ADD"/>
    <w:rsid w:val="600E1480"/>
    <w:rsid w:val="60627FDE"/>
    <w:rsid w:val="61842283"/>
    <w:rsid w:val="61B628FE"/>
    <w:rsid w:val="61C1CDFC"/>
    <w:rsid w:val="63B4FF13"/>
    <w:rsid w:val="640D816A"/>
    <w:rsid w:val="640D9951"/>
    <w:rsid w:val="6423C1BE"/>
    <w:rsid w:val="667FF20C"/>
    <w:rsid w:val="67453A13"/>
    <w:rsid w:val="67A22A6F"/>
    <w:rsid w:val="682F7151"/>
    <w:rsid w:val="69D1C119"/>
    <w:rsid w:val="6A8A8CC7"/>
    <w:rsid w:val="6ADB57F4"/>
    <w:rsid w:val="6B8DC139"/>
    <w:rsid w:val="6D0B5928"/>
    <w:rsid w:val="6E3AED8E"/>
    <w:rsid w:val="6F55E07E"/>
    <w:rsid w:val="716E905B"/>
    <w:rsid w:val="71D5E4DD"/>
    <w:rsid w:val="7231B7B4"/>
    <w:rsid w:val="732AF4AB"/>
    <w:rsid w:val="7410B144"/>
    <w:rsid w:val="741D51D0"/>
    <w:rsid w:val="7525CF42"/>
    <w:rsid w:val="75BC76E2"/>
    <w:rsid w:val="76D42354"/>
    <w:rsid w:val="77485206"/>
    <w:rsid w:val="774AF885"/>
    <w:rsid w:val="77BAD4F3"/>
    <w:rsid w:val="79AE01B7"/>
    <w:rsid w:val="79AEDD13"/>
    <w:rsid w:val="7A100228"/>
    <w:rsid w:val="7BDD83FC"/>
    <w:rsid w:val="7C180483"/>
    <w:rsid w:val="7C312CE0"/>
    <w:rsid w:val="7C82CEE3"/>
    <w:rsid w:val="7EE97B04"/>
    <w:rsid w:val="7F4FA545"/>
    <w:rsid w:val="7F99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C65C"/>
  <w15:docId w15:val="{0CAAD82F-CB47-420C-B2BE-0471FC09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DB3B60"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541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B1DCA"/>
    <w:rPr>
      <w:color w:val="0563C1" w:themeColor="hyperlink"/>
      <w:u w:val="single"/>
    </w:rPr>
  </w:style>
  <w:style w:type="character" w:styleId="Nevyrieenzmienka1" w:customStyle="1">
    <w:name w:val="Nevyriešená zmienka1"/>
    <w:basedOn w:val="Predvolenpsmoodseku"/>
    <w:uiPriority w:val="99"/>
    <w:semiHidden/>
    <w:unhideWhenUsed/>
    <w:rsid w:val="009B1DCA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2089C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56DA1"/>
    <w:pPr>
      <w:spacing w:after="0" w:line="240" w:lineRule="auto"/>
    </w:pPr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156DA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6DA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02A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02A7C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002A7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02A7C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002A7C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semiHidden/>
    <w:unhideWhenUsed/>
    <w:rsid w:val="00E0573A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semiHidden/>
    <w:rsid w:val="00E0573A"/>
  </w:style>
  <w:style w:type="paragraph" w:styleId="Pta">
    <w:name w:val="footer"/>
    <w:basedOn w:val="Normlny"/>
    <w:link w:val="PtaChar"/>
    <w:uiPriority w:val="99"/>
    <w:semiHidden/>
    <w:unhideWhenUsed/>
    <w:rsid w:val="00E0573A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semiHidden/>
    <w:rsid w:val="00E0573A"/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op" w:customStyle="1">
    <w:name w:val="eop"/>
    <w:basedOn w:val="Predvolenpsmoodseku"/>
    <w:uiPriority w:val="1"/>
    <w:rsid w:val="6423C1BE"/>
  </w:style>
  <w:style w:type="paragraph" w:styleId="Revzia">
    <w:name w:val="Revision"/>
    <w:hidden/>
    <w:uiPriority w:val="99"/>
    <w:semiHidden/>
    <w:rsid w:val="005A2609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5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6A5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3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view.officeapps.live.com/op/view.aspx?src=https%3A%2F%2Ffiles.transparencycdn.org%2Fimages%2FGCB-EU-2021-National-results.xlsx&amp;wdOrigin=BROWSELINK" TargetMode="External"/><Relationship Id="rId1" Type="http://schemas.openxmlformats.org/officeDocument/2006/relationships/hyperlink" Target="file:///C:/Users/IvanaKlimov&#225;/Desktop/Podklady,%20analyzy/komentar-maj-2022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74E47C0FD5B4B821F1178EC8E775E" ma:contentTypeVersion="11" ma:contentTypeDescription="Umožňuje vytvoriť nový dokument." ma:contentTypeScope="" ma:versionID="6e44fc6d7dd6e10172ea09cc1d103461">
  <xsd:schema xmlns:xsd="http://www.w3.org/2001/XMLSchema" xmlns:xs="http://www.w3.org/2001/XMLSchema" xmlns:p="http://schemas.microsoft.com/office/2006/metadata/properties" xmlns:ns2="453da86e-c25c-4940-ad99-c481d0b0001d" xmlns:ns3="e40651a6-755a-44da-9d34-9b84ddc6b55b" targetNamespace="http://schemas.microsoft.com/office/2006/metadata/properties" ma:root="true" ma:fieldsID="184001803ca49ec0498f9fc6a24582e4" ns2:_="" ns3:_="">
    <xsd:import namespace="453da86e-c25c-4940-ad99-c481d0b0001d"/>
    <xsd:import namespace="e40651a6-755a-44da-9d34-9b84ddc6b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da86e-c25c-4940-ad99-c481d0b000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3274774b-5bc3-48fa-b242-33ad00cb23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651a6-755a-44da-9d34-9b84ddc6b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e6cb372-5722-408d-aca9-ce1250595b4f}" ma:internalName="TaxCatchAll" ma:showField="CatchAllData" ma:web="e40651a6-755a-44da-9d34-9b84ddc6b5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3da86e-c25c-4940-ad99-c481d0b0001d">
      <Terms xmlns="http://schemas.microsoft.com/office/infopath/2007/PartnerControls"/>
    </lcf76f155ced4ddcb4097134ff3c332f>
    <TaxCatchAll xmlns="e40651a6-755a-44da-9d34-9b84ddc6b55b" xsi:nil="true"/>
  </documentManagement>
</p:properties>
</file>

<file path=customXml/itemProps1.xml><?xml version="1.0" encoding="utf-8"?>
<ds:datastoreItem xmlns:ds="http://schemas.openxmlformats.org/officeDocument/2006/customXml" ds:itemID="{DA967050-489D-4132-A6CF-9710673894C5}"/>
</file>

<file path=customXml/itemProps2.xml><?xml version="1.0" encoding="utf-8"?>
<ds:datastoreItem xmlns:ds="http://schemas.openxmlformats.org/officeDocument/2006/customXml" ds:itemID="{38B2AAFF-3DF8-4824-BE65-23C8DDE68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E8D28-66D6-41E1-A6D8-EB9666523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9E0807-4F9A-4800-8429-A0CDE8CE65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Klimová</dc:creator>
  <cp:keywords/>
  <dc:description/>
  <cp:lastModifiedBy>Mária Hunková</cp:lastModifiedBy>
  <cp:revision>121</cp:revision>
  <dcterms:created xsi:type="dcterms:W3CDTF">2022-08-10T17:39:00Z</dcterms:created>
  <dcterms:modified xsi:type="dcterms:W3CDTF">2023-09-08T10:42:56Z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0x01010066874E47C0FD5B4B821F1178EC8E775E</vt:lpwstr>
  </property>
  <property fmtid="{D5CDD505-2E9C-101B-9397-08002B2CF9AE}" pid="3" name="MediaServiceImageTags">
    <vt:lpwstr/>
  </property>
</Properties>
</file>